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43C6" w14:textId="77777777" w:rsidR="00427F92" w:rsidRPr="00F93C99" w:rsidRDefault="008226C8" w:rsidP="00F66594">
      <w:pPr>
        <w:pStyle w:val="Title"/>
      </w:pPr>
      <w:r w:rsidRPr="00F93C99">
        <w:t xml:space="preserve">Tips, Hints and </w:t>
      </w:r>
      <w:r w:rsidR="008E1493" w:rsidRPr="00F93C99">
        <w:t xml:space="preserve">Limitations </w:t>
      </w:r>
      <w:r w:rsidRPr="00F93C99">
        <w:t xml:space="preserve">for use </w:t>
      </w:r>
      <w:r w:rsidR="008E1493" w:rsidRPr="00F93C99">
        <w:t xml:space="preserve">of common </w:t>
      </w:r>
      <w:r w:rsidRPr="00F93C99">
        <w:t xml:space="preserve">medicines information </w:t>
      </w:r>
      <w:r w:rsidR="008E1493" w:rsidRPr="00F93C99">
        <w:t>resources</w:t>
      </w:r>
    </w:p>
    <w:p w14:paraId="6AC5D69F" w14:textId="77777777" w:rsidR="00F66594" w:rsidRPr="00F93C99" w:rsidRDefault="008E1493" w:rsidP="00F66594">
      <w:pPr>
        <w:pStyle w:val="Heading1"/>
        <w:rPr>
          <w:szCs w:val="20"/>
        </w:rPr>
      </w:pPr>
      <w:r w:rsidRPr="00F93C99">
        <w:rPr>
          <w:szCs w:val="20"/>
        </w:rPr>
        <w:t xml:space="preserve">General </w:t>
      </w:r>
      <w:r w:rsidR="00B37DF8">
        <w:rPr>
          <w:szCs w:val="20"/>
        </w:rPr>
        <w:t>Tips</w:t>
      </w:r>
    </w:p>
    <w:p w14:paraId="42C78DD8" w14:textId="3134CF0B" w:rsidR="007045A1" w:rsidRPr="00F93C99" w:rsidRDefault="007045A1" w:rsidP="007045A1">
      <w:r w:rsidRPr="00F93C99">
        <w:t xml:space="preserve">This is not a comprehensive guide to the use of Medicines Information resources. It is a list of observations from experienced pharmacists that has been </w:t>
      </w:r>
      <w:r w:rsidR="004663DB">
        <w:t>compil</w:t>
      </w:r>
      <w:r w:rsidRPr="00F93C99">
        <w:t>ed to</w:t>
      </w:r>
      <w:r>
        <w:t xml:space="preserve"> s</w:t>
      </w:r>
      <w:r w:rsidRPr="00F93C99">
        <w:t>hare hints and tips on the use of some resources, which may not always be obvious</w:t>
      </w:r>
      <w:r>
        <w:t>.</w:t>
      </w:r>
    </w:p>
    <w:p w14:paraId="7C996983" w14:textId="4F1A41BA" w:rsidR="008E1493" w:rsidRDefault="008E1493" w:rsidP="00F658ED">
      <w:r w:rsidRPr="00F93C99">
        <w:t>No single source</w:t>
      </w:r>
      <w:r w:rsidR="00B37DF8">
        <w:t xml:space="preserve">, </w:t>
      </w:r>
      <w:r w:rsidR="00B37DF8" w:rsidRPr="00F93C99">
        <w:t xml:space="preserve">no matter how well-respected, </w:t>
      </w:r>
      <w:r w:rsidR="00B37DF8">
        <w:t>should be regarded as</w:t>
      </w:r>
      <w:r w:rsidRPr="00F93C99">
        <w:t xml:space="preserve"> totally comprehensive or completely up-to-date in all respects</w:t>
      </w:r>
      <w:r w:rsidR="00B37DF8">
        <w:t>;</w:t>
      </w:r>
      <w:r w:rsidR="00B37DF8" w:rsidRPr="00B37DF8">
        <w:t xml:space="preserve"> </w:t>
      </w:r>
      <w:r w:rsidR="00B37DF8">
        <w:t>i</w:t>
      </w:r>
      <w:r w:rsidR="00B37DF8" w:rsidRPr="00F93C99">
        <w:t>n all cases, editorial decisions will have been made regarding information to be included or excluded.</w:t>
      </w:r>
      <w:r w:rsidR="00B37DF8">
        <w:t xml:space="preserve"> You should therefore </w:t>
      </w:r>
      <w:r w:rsidRPr="00F93C99">
        <w:t xml:space="preserve">use your professional judgement </w:t>
      </w:r>
      <w:r w:rsidR="0036495A">
        <w:t xml:space="preserve">(which is a resource itself) </w:t>
      </w:r>
      <w:r w:rsidRPr="00F93C99">
        <w:t xml:space="preserve">to decide when you need to verify facts in another resource. </w:t>
      </w:r>
    </w:p>
    <w:p w14:paraId="2471C2D3" w14:textId="77777777" w:rsidR="000B492F" w:rsidRPr="00F93C99" w:rsidRDefault="000B492F" w:rsidP="00F658ED">
      <w:r>
        <w:t xml:space="preserve">Most resources are constructed by human beings (who may not have medical or pharmaceutical training), and therefore may not always be consistent or logical. </w:t>
      </w:r>
    </w:p>
    <w:p w14:paraId="3B4BD26C" w14:textId="77777777" w:rsidR="008E1493" w:rsidRPr="00F93C99" w:rsidRDefault="008E1493" w:rsidP="000B492F">
      <w:pPr>
        <w:pStyle w:val="ListParagraph"/>
        <w:numPr>
          <w:ilvl w:val="0"/>
          <w:numId w:val="27"/>
        </w:numPr>
        <w:ind w:left="714" w:hanging="357"/>
        <w:contextualSpacing w:val="0"/>
      </w:pPr>
      <w:r w:rsidRPr="000B492F">
        <w:rPr>
          <w:b/>
          <w:bCs/>
        </w:rPr>
        <w:t>Think about synonyms</w:t>
      </w:r>
      <w:r w:rsidRPr="00F93C99">
        <w:t xml:space="preserve"> when searching books, databases or websites since cross-referencing is not always reliable (e.g. “hypericum” vs. “St John’s Wort”; “alopecia” vs. “hair loss”).</w:t>
      </w:r>
    </w:p>
    <w:p w14:paraId="66D454CB" w14:textId="30CB0573" w:rsidR="000B492F" w:rsidRDefault="008E1493" w:rsidP="000B492F">
      <w:pPr>
        <w:pStyle w:val="ListParagraph"/>
        <w:numPr>
          <w:ilvl w:val="0"/>
          <w:numId w:val="27"/>
        </w:numPr>
        <w:ind w:left="714" w:hanging="357"/>
        <w:contextualSpacing w:val="0"/>
      </w:pPr>
      <w:r w:rsidRPr="00F93C99">
        <w:t xml:space="preserve">When using any database, including Embase and Medline, be aware that </w:t>
      </w:r>
      <w:r w:rsidRPr="000B492F">
        <w:rPr>
          <w:b/>
          <w:bCs/>
        </w:rPr>
        <w:t>keywords and subheadings may have been chosen by non-medical personnel</w:t>
      </w:r>
      <w:r w:rsidR="002C5C33">
        <w:rPr>
          <w:b/>
          <w:bCs/>
        </w:rPr>
        <w:t xml:space="preserve"> or artificial intelligence</w:t>
      </w:r>
      <w:r w:rsidRPr="00F93C99">
        <w:t xml:space="preserve"> and as such may not always be entirely consistent or logical.</w:t>
      </w:r>
      <w:r w:rsidR="00B37DF8">
        <w:t xml:space="preserve"> </w:t>
      </w:r>
    </w:p>
    <w:p w14:paraId="7AC5EE99" w14:textId="77777777" w:rsidR="008E1493" w:rsidRPr="00F93C99" w:rsidRDefault="000B492F" w:rsidP="000B492F">
      <w:pPr>
        <w:pStyle w:val="ListParagraph"/>
        <w:numPr>
          <w:ilvl w:val="0"/>
          <w:numId w:val="27"/>
        </w:numPr>
        <w:ind w:left="714" w:hanging="357"/>
        <w:contextualSpacing w:val="0"/>
      </w:pPr>
      <w:r>
        <w:t>A</w:t>
      </w:r>
      <w:r w:rsidR="00B37DF8" w:rsidRPr="00F93C99">
        <w:t xml:space="preserve">ll databases have the potential to have </w:t>
      </w:r>
      <w:r w:rsidR="00B37DF8" w:rsidRPr="007045A1">
        <w:rPr>
          <w:b/>
          <w:bCs/>
        </w:rPr>
        <w:t>search function anomalies</w:t>
      </w:r>
      <w:r>
        <w:t>.</w:t>
      </w:r>
    </w:p>
    <w:p w14:paraId="165F5148" w14:textId="77777777" w:rsidR="00427F92" w:rsidRPr="00F93C99" w:rsidRDefault="008E1493" w:rsidP="000B492F">
      <w:pPr>
        <w:pStyle w:val="ListParagraph"/>
        <w:numPr>
          <w:ilvl w:val="0"/>
          <w:numId w:val="27"/>
        </w:numPr>
        <w:ind w:left="714" w:hanging="357"/>
        <w:contextualSpacing w:val="0"/>
      </w:pPr>
      <w:r w:rsidRPr="00F93C99">
        <w:t>When searching for</w:t>
      </w:r>
      <w:r w:rsidRPr="000B492F">
        <w:rPr>
          <w:b/>
          <w:bCs/>
        </w:rPr>
        <w:t xml:space="preserve"> interactions</w:t>
      </w:r>
      <w:r w:rsidRPr="00F93C99">
        <w:t xml:space="preserve"> or </w:t>
      </w:r>
      <w:r w:rsidRPr="000B492F">
        <w:rPr>
          <w:b/>
          <w:bCs/>
        </w:rPr>
        <w:t>IV compatibilities</w:t>
      </w:r>
      <w:r w:rsidRPr="00F93C99">
        <w:t xml:space="preserve"> consult monographs for all drugs involved</w:t>
      </w:r>
      <w:r w:rsidR="000B492F">
        <w:t>, as an interaction/incompatibility may be listed for one drug but not another; this is particularly true where different resources are used for each drug (e.g. summaries of product characteristics).</w:t>
      </w:r>
    </w:p>
    <w:p w14:paraId="61BDE7A2" w14:textId="77777777" w:rsidR="00BF67A5" w:rsidRPr="00F93C99" w:rsidRDefault="00BF67A5" w:rsidP="00AD334A">
      <w:pPr>
        <w:pStyle w:val="Heading2"/>
        <w:rPr>
          <w:lang w:val="en-GB"/>
        </w:rPr>
      </w:pPr>
      <w:r w:rsidRPr="00F93C99">
        <w:rPr>
          <w:lang w:val="en-GB"/>
        </w:rPr>
        <w:t>Training</w:t>
      </w:r>
    </w:p>
    <w:p w14:paraId="4D6C1FB2" w14:textId="77777777" w:rsidR="00BF67A5" w:rsidRPr="00F93C99" w:rsidRDefault="00BF67A5" w:rsidP="00BF67A5">
      <w:r w:rsidRPr="00F93C99">
        <w:t>It is your responsibility to ensure that you can use information resources appropriately.</w:t>
      </w:r>
    </w:p>
    <w:p w14:paraId="4808D471" w14:textId="77777777" w:rsidR="00BF67A5" w:rsidRPr="00F93C99" w:rsidRDefault="00BF67A5" w:rsidP="00BF67A5">
      <w:pPr>
        <w:pStyle w:val="ListParagraph"/>
        <w:numPr>
          <w:ilvl w:val="0"/>
          <w:numId w:val="17"/>
        </w:numPr>
      </w:pPr>
      <w:r w:rsidRPr="00F93C99">
        <w:t>Your organisation’s library may run courses on using EMBASE and MEDLINE</w:t>
      </w:r>
      <w:r w:rsidR="000B492F">
        <w:t xml:space="preserve"> and/or other resources provided via library services</w:t>
      </w:r>
      <w:r w:rsidRPr="00F93C99">
        <w:t>.</w:t>
      </w:r>
    </w:p>
    <w:p w14:paraId="15CAD8A8" w14:textId="77777777" w:rsidR="00BF67A5" w:rsidRPr="00F93C99" w:rsidRDefault="00BF67A5" w:rsidP="00BF67A5">
      <w:pPr>
        <w:pStyle w:val="ListParagraph"/>
        <w:numPr>
          <w:ilvl w:val="0"/>
          <w:numId w:val="17"/>
        </w:numPr>
      </w:pPr>
      <w:r w:rsidRPr="00F93C99">
        <w:t xml:space="preserve">Web-based resources frequently have a ‘help’ section or other advice/training on how to use the resource. </w:t>
      </w:r>
    </w:p>
    <w:p w14:paraId="21E66433" w14:textId="77777777" w:rsidR="00BF67A5" w:rsidRPr="00F93C99" w:rsidRDefault="00BF67A5" w:rsidP="00BF67A5">
      <w:pPr>
        <w:pStyle w:val="ListParagraph"/>
        <w:numPr>
          <w:ilvl w:val="0"/>
          <w:numId w:val="17"/>
        </w:numPr>
      </w:pPr>
      <w:r w:rsidRPr="00F93C99">
        <w:t>If you have not used a resource for some time, consider whether you need refresher training.</w:t>
      </w:r>
    </w:p>
    <w:p w14:paraId="79198752" w14:textId="77777777" w:rsidR="00CC6562" w:rsidRDefault="00CC6562">
      <w:pPr>
        <w:spacing w:after="0" w:line="240" w:lineRule="auto"/>
        <w:rPr>
          <w:rFonts w:eastAsia="Times New Roman"/>
          <w:b/>
          <w:bCs/>
          <w:color w:val="0070C0"/>
          <w:sz w:val="32"/>
          <w:szCs w:val="20"/>
        </w:rPr>
      </w:pPr>
      <w:r>
        <w:br w:type="page"/>
      </w:r>
    </w:p>
    <w:p w14:paraId="1E9EB0BA" w14:textId="3B60513E" w:rsidR="00AD334A" w:rsidRPr="00F93C99" w:rsidRDefault="00AD334A" w:rsidP="00AD334A">
      <w:pPr>
        <w:pStyle w:val="Heading2"/>
        <w:rPr>
          <w:lang w:val="en-GB"/>
        </w:rPr>
      </w:pPr>
      <w:r w:rsidRPr="00F93C99">
        <w:rPr>
          <w:lang w:val="en-GB"/>
        </w:rPr>
        <w:lastRenderedPageBreak/>
        <w:t>Currency of Information</w:t>
      </w:r>
    </w:p>
    <w:p w14:paraId="48EE8BE3" w14:textId="16119C39" w:rsidR="00AB5070" w:rsidRDefault="00AD334A" w:rsidP="00AB5070">
      <w:r w:rsidRPr="00F93C99">
        <w:t xml:space="preserve">You should expect most books to be at least 1-2 years </w:t>
      </w:r>
      <w:r w:rsidR="00CC3C00">
        <w:t>out of date</w:t>
      </w:r>
      <w:r w:rsidRPr="00F93C99">
        <w:t xml:space="preserve"> at the point of publication. Even paper texts that are updated </w:t>
      </w:r>
      <w:r w:rsidR="00BF419D">
        <w:t>regularly</w:t>
      </w:r>
      <w:r w:rsidR="00CC3C00">
        <w:t>,</w:t>
      </w:r>
      <w:r w:rsidRPr="00F93C99">
        <w:t xml:space="preserve"> e</w:t>
      </w:r>
      <w:r w:rsidR="00B37DF8">
        <w:t>.</w:t>
      </w:r>
      <w:r w:rsidRPr="00F93C99">
        <w:t>g</w:t>
      </w:r>
      <w:r w:rsidR="00B37DF8">
        <w:t>.</w:t>
      </w:r>
      <w:r w:rsidRPr="00F93C99">
        <w:t xml:space="preserve"> Martindale, Stockley</w:t>
      </w:r>
      <w:r w:rsidR="00B37DF8">
        <w:t>,</w:t>
      </w:r>
      <w:r w:rsidRPr="00F93C99">
        <w:t xml:space="preserve"> and Hale, have online versions that are updated more regularly.</w:t>
      </w:r>
      <w:r w:rsidR="00AB5070" w:rsidRPr="00AB5070">
        <w:t xml:space="preserve"> </w:t>
      </w:r>
      <w:r w:rsidR="00AB5070" w:rsidRPr="00F93C99">
        <w:t xml:space="preserve">Where possible, use an electronic version of a resource rather than a paper version, as electronic resources are often updated more </w:t>
      </w:r>
      <w:r w:rsidR="00CC3C00">
        <w:t>frequently</w:t>
      </w:r>
      <w:r w:rsidR="00AB5070" w:rsidRPr="00F93C99">
        <w:t>.</w:t>
      </w:r>
    </w:p>
    <w:p w14:paraId="57C0EA8B" w14:textId="1DE82AF6" w:rsidR="00CC6562" w:rsidRPr="00F93C99" w:rsidRDefault="009C32CC" w:rsidP="00AB5070">
      <w:r>
        <w:t xml:space="preserve">When considering using a paper version because it is significantly cheaper, consider the risks due to </w:t>
      </w:r>
      <w:r w:rsidR="00132701">
        <w:t xml:space="preserve">the </w:t>
      </w:r>
      <w:r>
        <w:t>lack of regular updates.</w:t>
      </w:r>
    </w:p>
    <w:p w14:paraId="027965C6" w14:textId="14701B33" w:rsidR="00AD334A" w:rsidRDefault="00AD334A" w:rsidP="00AD334A">
      <w:r w:rsidRPr="00F93C99">
        <w:t xml:space="preserve">Always be aware of the date of publication of </w:t>
      </w:r>
      <w:r w:rsidR="00CC3C00">
        <w:t xml:space="preserve">the </w:t>
      </w:r>
      <w:r w:rsidRPr="00F93C99">
        <w:t xml:space="preserve">information you are using. This is particularly true for websites where different sections/pages/monographs may be updated at different times. </w:t>
      </w:r>
      <w:r w:rsidR="00BF419D">
        <w:t>Some information can be</w:t>
      </w:r>
      <w:r w:rsidRPr="00F93C99">
        <w:t xml:space="preserve"> very up-to-date</w:t>
      </w:r>
      <w:r w:rsidR="00326EA4">
        <w:t>, while other information may</w:t>
      </w:r>
      <w:r w:rsidRPr="00F93C99">
        <w:t xml:space="preserve"> be quite old.</w:t>
      </w:r>
      <w:r w:rsidR="00AB5070">
        <w:t xml:space="preserve"> </w:t>
      </w:r>
      <w:r w:rsidRPr="00F93C99">
        <w:t>If the information in the resource you are using is old or may be out of date, check it in a different resource if possible.</w:t>
      </w:r>
    </w:p>
    <w:p w14:paraId="106373F0" w14:textId="5EA0F636" w:rsidR="00132701" w:rsidRPr="00F93C99" w:rsidRDefault="00132701" w:rsidP="00AD334A">
      <w:r>
        <w:t>In some cases, the monograph date of update may be recent, but the references may be old.</w:t>
      </w:r>
      <w:r w:rsidR="00274C6A">
        <w:t xml:space="preserve"> Consider how important this is to your task/enquiry.</w:t>
      </w:r>
    </w:p>
    <w:p w14:paraId="06421C66" w14:textId="77777777" w:rsidR="00BF67A5" w:rsidRPr="00F93C99" w:rsidRDefault="00BF67A5" w:rsidP="00AD334A">
      <w:r w:rsidRPr="00F93C99">
        <w:t>Certain enquiry types are particularly sensitive to changes:</w:t>
      </w:r>
    </w:p>
    <w:p w14:paraId="314822C4" w14:textId="77777777" w:rsidR="00BF67A5" w:rsidRPr="00F93C99" w:rsidRDefault="00BF67A5" w:rsidP="00BF67A5">
      <w:pPr>
        <w:pStyle w:val="ListParagraph"/>
        <w:numPr>
          <w:ilvl w:val="0"/>
          <w:numId w:val="17"/>
        </w:numPr>
      </w:pPr>
      <w:r w:rsidRPr="00F93C99">
        <w:t>Changes in formulation or manufacturing process may render older information on stability (e.g. out of fridge) or compatibility unreliable.</w:t>
      </w:r>
    </w:p>
    <w:p w14:paraId="376A7C08" w14:textId="77777777" w:rsidR="00BF67A5" w:rsidRPr="00F93C99" w:rsidRDefault="00BF67A5" w:rsidP="00BF67A5">
      <w:pPr>
        <w:pStyle w:val="ListParagraph"/>
        <w:numPr>
          <w:ilvl w:val="0"/>
          <w:numId w:val="17"/>
        </w:numPr>
      </w:pPr>
      <w:r w:rsidRPr="00F93C99">
        <w:t>Medical practice changes over time; some areas change more quickly than others.</w:t>
      </w:r>
    </w:p>
    <w:p w14:paraId="0B250A66" w14:textId="77777777" w:rsidR="004F6F5D" w:rsidRPr="00F93C99" w:rsidRDefault="004F6F5D" w:rsidP="002C040E">
      <w:pPr>
        <w:pStyle w:val="Heading2"/>
        <w:rPr>
          <w:lang w:val="en-GB"/>
        </w:rPr>
      </w:pPr>
      <w:r w:rsidRPr="00F93C99">
        <w:rPr>
          <w:lang w:val="en-GB"/>
        </w:rPr>
        <w:t>Origin of Information and Differences between Resources</w:t>
      </w:r>
    </w:p>
    <w:p w14:paraId="2831DFAC" w14:textId="0FCA2108" w:rsidR="00CA0A61" w:rsidRDefault="004F6F5D" w:rsidP="00BF6B79">
      <w:r w:rsidRPr="00F93C99">
        <w:t xml:space="preserve">It is good practice to confirm information in more than one reference source. </w:t>
      </w:r>
      <w:r w:rsidR="007C579B">
        <w:t>Ho</w:t>
      </w:r>
      <w:r w:rsidR="00A813CB">
        <w:t>wever, there may be issues to consider whether the sources agree or not.</w:t>
      </w:r>
    </w:p>
    <w:p w14:paraId="2305C02E" w14:textId="3709B3F2" w:rsidR="00E11107" w:rsidRDefault="00E11107" w:rsidP="00E11107">
      <w:pPr>
        <w:pStyle w:val="Heading3"/>
      </w:pPr>
      <w:r>
        <w:t>Circular referencing</w:t>
      </w:r>
    </w:p>
    <w:p w14:paraId="724B3FC0" w14:textId="18E707FD" w:rsidR="00CA0A61" w:rsidRDefault="00CA0A61" w:rsidP="00BF6B79">
      <w:r>
        <w:t xml:space="preserve">In general, if the information in two reference sources </w:t>
      </w:r>
      <w:r w:rsidR="002F37E0">
        <w:t>agrees</w:t>
      </w:r>
      <w:r>
        <w:t xml:space="preserve">, this can be treated as confirmation. The exception is when </w:t>
      </w:r>
      <w:r w:rsidR="00E11107">
        <w:t xml:space="preserve">one reference source quotes </w:t>
      </w:r>
      <w:r w:rsidR="00530312">
        <w:t>the other. In this case, you have only one source, not two.</w:t>
      </w:r>
    </w:p>
    <w:p w14:paraId="31A57795" w14:textId="4ED40CA4" w:rsidR="00530312" w:rsidRDefault="00530312" w:rsidP="00BF6B79">
      <w:r>
        <w:t xml:space="preserve">A </w:t>
      </w:r>
      <w:r w:rsidR="00C90256">
        <w:t>development of this is true circular referencing, where each resource references or quotes the other, but there is no indication of where the information originated</w:t>
      </w:r>
      <w:r w:rsidR="006D2626">
        <w:t xml:space="preserve">. </w:t>
      </w:r>
      <w:r w:rsidR="00EA784D">
        <w:t>In this case, you</w:t>
      </w:r>
      <w:r w:rsidR="00190D51">
        <w:t xml:space="preserve"> effectively</w:t>
      </w:r>
      <w:r w:rsidR="00EA784D">
        <w:t xml:space="preserve"> </w:t>
      </w:r>
      <w:r w:rsidR="00190D51">
        <w:t xml:space="preserve">have only one source, but you must also consider the need to </w:t>
      </w:r>
      <w:r w:rsidR="00A07183">
        <w:t xml:space="preserve">confirm </w:t>
      </w:r>
      <w:r w:rsidR="00190D51">
        <w:t xml:space="preserve">the origin and continued accuracy of the information </w:t>
      </w:r>
      <w:r w:rsidR="00A07183">
        <w:t>with an ‘outside’ source</w:t>
      </w:r>
      <w:r w:rsidR="00A813CB">
        <w:t>.</w:t>
      </w:r>
    </w:p>
    <w:p w14:paraId="744DF730" w14:textId="1824E313" w:rsidR="00CA0A61" w:rsidRDefault="006D2626" w:rsidP="006D2626">
      <w:pPr>
        <w:pStyle w:val="Heading3"/>
      </w:pPr>
      <w:r>
        <w:t>Dealing with differences</w:t>
      </w:r>
    </w:p>
    <w:p w14:paraId="44C67E27" w14:textId="77777777" w:rsidR="00E07CAB" w:rsidRPr="00F93C99" w:rsidRDefault="00E07CAB" w:rsidP="00E07CAB">
      <w:r w:rsidRPr="00F93C99">
        <w:t xml:space="preserve">Where information in resources differs, you should use your professional judgement to decide which (which could be some, all, or none) information should be included or </w:t>
      </w:r>
      <w:r>
        <w:t>emphasised</w:t>
      </w:r>
      <w:r w:rsidRPr="00F93C99">
        <w:t xml:space="preserve"> in your answer.</w:t>
      </w:r>
    </w:p>
    <w:p w14:paraId="611DA65E" w14:textId="77777777" w:rsidR="00E07CAB" w:rsidRDefault="00E07CAB" w:rsidP="00E07CAB">
      <w:r>
        <w:t>Reasons for differences include:</w:t>
      </w:r>
    </w:p>
    <w:p w14:paraId="2D0D57D8" w14:textId="2B88D241" w:rsidR="004F6F5D" w:rsidRPr="00F93C99" w:rsidRDefault="004F6F5D" w:rsidP="00E07CAB">
      <w:pPr>
        <w:pStyle w:val="ListParagraph"/>
        <w:numPr>
          <w:ilvl w:val="0"/>
          <w:numId w:val="17"/>
        </w:numPr>
      </w:pPr>
      <w:r w:rsidRPr="00F93C99">
        <w:t>One resource is more up to date than the other;</w:t>
      </w:r>
    </w:p>
    <w:p w14:paraId="73EFBB8D" w14:textId="77777777" w:rsidR="004F6F5D" w:rsidRPr="00F93C99" w:rsidRDefault="004F6F5D" w:rsidP="004F6F5D">
      <w:pPr>
        <w:pStyle w:val="ListParagraph"/>
        <w:numPr>
          <w:ilvl w:val="0"/>
          <w:numId w:val="17"/>
        </w:numPr>
      </w:pPr>
      <w:r w:rsidRPr="00F93C99">
        <w:t xml:space="preserve">Information is based on the manufacturer’s product information vs clinical evidence or use in practice. The latter is often the case in specialist resources (e.g. </w:t>
      </w:r>
      <w:r w:rsidRPr="00F93C99">
        <w:rPr>
          <w:i/>
          <w:iCs/>
        </w:rPr>
        <w:t>Renal Drug Handbook/Database, UKCPA Handbook of Perioperative Medicines)</w:t>
      </w:r>
      <w:r w:rsidRPr="00F93C99">
        <w:t>, when information may include information based on anecdotal specialist experience.</w:t>
      </w:r>
    </w:p>
    <w:p w14:paraId="4EFB185E" w14:textId="77777777" w:rsidR="00565DCB" w:rsidRPr="00F93C99" w:rsidRDefault="00565DCB" w:rsidP="004F6F5D">
      <w:pPr>
        <w:pStyle w:val="ListParagraph"/>
        <w:numPr>
          <w:ilvl w:val="0"/>
          <w:numId w:val="17"/>
        </w:numPr>
      </w:pPr>
      <w:r w:rsidRPr="00F93C99">
        <w:t>One resource is UK-based and another is international.</w:t>
      </w:r>
    </w:p>
    <w:p w14:paraId="3F92A3BD" w14:textId="77777777" w:rsidR="00AD334A" w:rsidRPr="00F93C99" w:rsidRDefault="00AD334A" w:rsidP="002C040E">
      <w:pPr>
        <w:pStyle w:val="Heading2"/>
        <w:rPr>
          <w:lang w:val="en-GB"/>
        </w:rPr>
      </w:pPr>
      <w:r w:rsidRPr="00F93C99">
        <w:rPr>
          <w:lang w:val="en-GB"/>
        </w:rPr>
        <w:lastRenderedPageBreak/>
        <w:t>International Reference Sources</w:t>
      </w:r>
    </w:p>
    <w:p w14:paraId="77A0551C" w14:textId="2CA66CA5" w:rsidR="00AD334A" w:rsidRPr="00F93C99" w:rsidRDefault="00003718" w:rsidP="00AD334A">
      <w:r>
        <w:t xml:space="preserve">Some of </w:t>
      </w:r>
      <w:r w:rsidR="00AD334A" w:rsidRPr="00F93C99">
        <w:t xml:space="preserve">the reference sources used in medicines information originate </w:t>
      </w:r>
      <w:r>
        <w:t>outside t</w:t>
      </w:r>
      <w:r w:rsidR="00AD334A" w:rsidRPr="00F93C99">
        <w:t xml:space="preserve">he UK. It is therefore important to remember that, depending on the type of information accessed, there may be important differences to be </w:t>
      </w:r>
      <w:r w:rsidR="00AE2B28" w:rsidRPr="00F93C99">
        <w:t>considered</w:t>
      </w:r>
      <w:r w:rsidR="00AD334A" w:rsidRPr="00F93C99">
        <w:t>. For example:</w:t>
      </w:r>
    </w:p>
    <w:p w14:paraId="5CEE1000" w14:textId="47F71ADA" w:rsidR="00AD334A" w:rsidRPr="00F93C99" w:rsidRDefault="00AD334A" w:rsidP="00AD334A">
      <w:pPr>
        <w:pStyle w:val="ListParagraph"/>
        <w:numPr>
          <w:ilvl w:val="0"/>
          <w:numId w:val="17"/>
        </w:numPr>
      </w:pPr>
      <w:r w:rsidRPr="00F93C99">
        <w:t>Differences in drug names/brand names</w:t>
      </w:r>
      <w:r w:rsidR="005D5137">
        <w:t>.</w:t>
      </w:r>
    </w:p>
    <w:p w14:paraId="33E8C184" w14:textId="77777777" w:rsidR="00AD334A" w:rsidRPr="00F93C99" w:rsidRDefault="00AD334A" w:rsidP="00AD334A">
      <w:pPr>
        <w:pStyle w:val="ListParagraph"/>
        <w:numPr>
          <w:ilvl w:val="0"/>
          <w:numId w:val="17"/>
        </w:numPr>
      </w:pPr>
      <w:r w:rsidRPr="00F93C99">
        <w:t xml:space="preserve">Differences in guidelines/medical practice. </w:t>
      </w:r>
    </w:p>
    <w:p w14:paraId="0354C5EA" w14:textId="77777777" w:rsidR="00AD334A" w:rsidRDefault="00AD334A" w:rsidP="00AD334A">
      <w:pPr>
        <w:pStyle w:val="ListParagraph"/>
        <w:numPr>
          <w:ilvl w:val="0"/>
          <w:numId w:val="17"/>
        </w:numPr>
      </w:pPr>
      <w:r w:rsidRPr="00F93C99">
        <w:t>Formulations may vary between countries, which may affect the applicability of information relating to formulation, stability, and compatibility.</w:t>
      </w:r>
    </w:p>
    <w:p w14:paraId="66395721" w14:textId="21552CB4" w:rsidR="00DF29EF" w:rsidRPr="00F93C99" w:rsidRDefault="00DF29EF" w:rsidP="00AD334A">
      <w:pPr>
        <w:pStyle w:val="ListParagraph"/>
        <w:numPr>
          <w:ilvl w:val="0"/>
          <w:numId w:val="17"/>
        </w:numPr>
      </w:pPr>
      <w:r>
        <w:t>Differences in licences</w:t>
      </w:r>
      <w:r w:rsidR="00BF419D">
        <w:t>, e.g. indications and doses,</w:t>
      </w:r>
      <w:r>
        <w:t xml:space="preserve"> etc</w:t>
      </w:r>
      <w:r w:rsidR="00D11CEF">
        <w:t>.</w:t>
      </w:r>
    </w:p>
    <w:p w14:paraId="40D084E0" w14:textId="77777777" w:rsidR="002C040E" w:rsidRPr="00F93C99" w:rsidRDefault="002C040E" w:rsidP="002C040E">
      <w:pPr>
        <w:pStyle w:val="Heading2"/>
        <w:rPr>
          <w:lang w:val="en-GB"/>
        </w:rPr>
      </w:pPr>
      <w:r w:rsidRPr="00F93C99">
        <w:rPr>
          <w:lang w:val="en-GB"/>
        </w:rPr>
        <w:t>Internet Searching</w:t>
      </w:r>
    </w:p>
    <w:p w14:paraId="1A8667D5" w14:textId="17832C01" w:rsidR="002C040E" w:rsidRPr="00F93C99" w:rsidRDefault="002C040E" w:rsidP="002C040E">
      <w:r w:rsidRPr="00F93C99">
        <w:t>A webpage retrieved from a search engine such as Google may be an old version (a ‘cache’ page). For more information</w:t>
      </w:r>
      <w:r w:rsidR="00BF419D">
        <w:t>,</w:t>
      </w:r>
      <w:r w:rsidRPr="00F93C99">
        <w:t xml:space="preserve"> see: </w:t>
      </w:r>
      <w:hyperlink r:id="rId8" w:history="1">
        <w:r w:rsidR="007B7B3C" w:rsidRPr="00D138D8">
          <w:rPr>
            <w:rStyle w:val="Hyperlink"/>
          </w:rPr>
          <w:t>www.googleguide.com/cached_pages.html</w:t>
        </w:r>
      </w:hyperlink>
      <w:r w:rsidR="007B7B3C">
        <w:t xml:space="preserve"> </w:t>
      </w:r>
      <w:r w:rsidRPr="00F93C99">
        <w:t xml:space="preserve"> so ‘refresh’ web pages to be sure you get the current version. (If you want to find an old version of a </w:t>
      </w:r>
      <w:proofErr w:type="gramStart"/>
      <w:r w:rsidRPr="00F93C99">
        <w:t>webpage</w:t>
      </w:r>
      <w:proofErr w:type="gramEnd"/>
      <w:r w:rsidRPr="00F93C99">
        <w:t xml:space="preserve"> try </w:t>
      </w:r>
      <w:hyperlink r:id="rId9" w:history="1">
        <w:r w:rsidR="0082080C" w:rsidRPr="00DE45F1">
          <w:rPr>
            <w:rStyle w:val="Hyperlink"/>
          </w:rPr>
          <w:t>https://web.archive.org/</w:t>
        </w:r>
      </w:hyperlink>
      <w:r w:rsidRPr="00F93C99">
        <w:t>)</w:t>
      </w:r>
      <w:r w:rsidR="0082080C">
        <w:t xml:space="preserve"> </w:t>
      </w:r>
    </w:p>
    <w:p w14:paraId="314A23C8" w14:textId="56BADEDA" w:rsidR="002C040E" w:rsidRPr="00F93C99" w:rsidRDefault="002C040E" w:rsidP="002C040E">
      <w:r w:rsidRPr="00F93C99">
        <w:t xml:space="preserve">Be aware that Google uses </w:t>
      </w:r>
      <w:r w:rsidR="00B740EE" w:rsidRPr="00F93C99">
        <w:t>several</w:t>
      </w:r>
      <w:r w:rsidRPr="00F93C99">
        <w:t xml:space="preserve"> factors when deciding on the order in which search results should be displayed. Therefore, the most recently updated result may not be presented first.</w:t>
      </w:r>
    </w:p>
    <w:p w14:paraId="044B7B7D" w14:textId="7A5A4511" w:rsidR="002C040E" w:rsidRPr="00F93C99" w:rsidRDefault="002C040E" w:rsidP="002C040E">
      <w:r w:rsidRPr="00F93C99">
        <w:t xml:space="preserve">Documents may be uploaded to the internet by someone other than the originator; some websites can also hold several versions of the same document. Therefore, there may be old editions of documents still available; ensure that you are using the most </w:t>
      </w:r>
      <w:r w:rsidR="00EE303F">
        <w:t>up-to-date</w:t>
      </w:r>
      <w:r w:rsidRPr="00F93C99">
        <w:t xml:space="preserve"> version.</w:t>
      </w:r>
    </w:p>
    <w:p w14:paraId="5ECD16FE" w14:textId="5C83FA87" w:rsidR="002C040E" w:rsidRPr="00F93C99" w:rsidRDefault="002C040E" w:rsidP="002C040E">
      <w:r w:rsidRPr="00F93C99">
        <w:t xml:space="preserve">Some websites are particularly difficult to search. Where this is the case for a general search, use Google Advanced Search and cut and paste the website address into the box labelled “Search within a site or domain”. Then enter your search terms. </w:t>
      </w:r>
    </w:p>
    <w:p w14:paraId="7CF7EB08" w14:textId="77777777" w:rsidR="00744756" w:rsidRPr="00F93C99" w:rsidRDefault="00744756" w:rsidP="002C040E">
      <w:r w:rsidRPr="00F93C99">
        <w:t xml:space="preserve">The QRMG document </w:t>
      </w:r>
      <w:r w:rsidRPr="00F93C99">
        <w:rPr>
          <w:i/>
          <w:iCs/>
        </w:rPr>
        <w:t xml:space="preserve">Internet Searching for Medicines Information Staff </w:t>
      </w:r>
      <w:r w:rsidRPr="00F93C99">
        <w:t>provides guidance on:</w:t>
      </w:r>
    </w:p>
    <w:p w14:paraId="4E008D2A" w14:textId="77777777" w:rsidR="00744756" w:rsidRPr="00F93C99" w:rsidRDefault="00744756" w:rsidP="00744756">
      <w:pPr>
        <w:pStyle w:val="ListParagraph"/>
        <w:numPr>
          <w:ilvl w:val="0"/>
          <w:numId w:val="20"/>
        </w:numPr>
      </w:pPr>
      <w:r w:rsidRPr="00F93C99">
        <w:t>The place of general internet searches in MI search strategies</w:t>
      </w:r>
    </w:p>
    <w:p w14:paraId="06345675" w14:textId="77777777" w:rsidR="00744756" w:rsidRPr="00F93C99" w:rsidRDefault="00744756" w:rsidP="00744756">
      <w:pPr>
        <w:pStyle w:val="ListParagraph"/>
        <w:numPr>
          <w:ilvl w:val="0"/>
          <w:numId w:val="20"/>
        </w:numPr>
      </w:pPr>
      <w:r w:rsidRPr="00F93C99">
        <w:t>The use of different browsers</w:t>
      </w:r>
    </w:p>
    <w:p w14:paraId="20E583F3" w14:textId="77777777" w:rsidR="00744756" w:rsidRPr="00F93C99" w:rsidRDefault="00744756" w:rsidP="00744756">
      <w:pPr>
        <w:pStyle w:val="ListParagraph"/>
        <w:numPr>
          <w:ilvl w:val="0"/>
          <w:numId w:val="20"/>
        </w:numPr>
      </w:pPr>
      <w:r w:rsidRPr="00F93C99">
        <w:t>The use of Google products (e.g. Google, Google Scholar)</w:t>
      </w:r>
    </w:p>
    <w:p w14:paraId="2003B2A8" w14:textId="77777777" w:rsidR="00744756" w:rsidRPr="00F93C99" w:rsidRDefault="00744756" w:rsidP="00744756">
      <w:pPr>
        <w:pStyle w:val="ListParagraph"/>
        <w:numPr>
          <w:ilvl w:val="0"/>
          <w:numId w:val="20"/>
        </w:numPr>
      </w:pPr>
      <w:r w:rsidRPr="00F93C99">
        <w:t>Guidance to help you decide on the reliability of information found on the internet</w:t>
      </w:r>
    </w:p>
    <w:p w14:paraId="6D78A94B" w14:textId="650DC506" w:rsidR="00CB4AB8" w:rsidRPr="00F93C99" w:rsidRDefault="00744756" w:rsidP="00744756">
      <w:r w:rsidRPr="00F93C99">
        <w:t xml:space="preserve">It is available at: </w:t>
      </w:r>
      <w:hyperlink r:id="rId10" w:history="1">
        <w:r w:rsidR="00EE303F" w:rsidRPr="00DE45F1">
          <w:rPr>
            <w:rStyle w:val="Hyperlink"/>
          </w:rPr>
          <w:t>https://www.ukmi.nhs.uk/Resources?ContentID=3df605e3-ec43-47b7-99ff-aabc3cd91765</w:t>
        </w:r>
      </w:hyperlink>
      <w:r w:rsidR="00EE303F">
        <w:t xml:space="preserve"> </w:t>
      </w:r>
    </w:p>
    <w:p w14:paraId="0C339761" w14:textId="77777777" w:rsidR="001F0E77" w:rsidRDefault="001F0E77">
      <w:pPr>
        <w:spacing w:after="0" w:line="240" w:lineRule="auto"/>
        <w:rPr>
          <w:rFonts w:eastAsia="Times New Roman"/>
          <w:b/>
          <w:bCs/>
          <w:color w:val="0070C0"/>
          <w:sz w:val="36"/>
          <w:szCs w:val="28"/>
        </w:rPr>
      </w:pPr>
      <w:r>
        <w:br w:type="page"/>
      </w:r>
    </w:p>
    <w:p w14:paraId="467B6078" w14:textId="3BD597F6" w:rsidR="008226C8" w:rsidRPr="00F93C99" w:rsidRDefault="008226C8" w:rsidP="00314771">
      <w:pPr>
        <w:pStyle w:val="Heading1"/>
      </w:pPr>
      <w:r w:rsidRPr="00F93C99">
        <w:lastRenderedPageBreak/>
        <w:t>Specific Resources</w:t>
      </w:r>
      <w:r w:rsidR="00CB4AB8">
        <w:t xml:space="preserve"> </w:t>
      </w:r>
    </w:p>
    <w:tbl>
      <w:tblPr>
        <w:tblStyle w:val="TableGrid"/>
        <w:tblW w:w="0" w:type="auto"/>
        <w:tblLayout w:type="fixed"/>
        <w:tblLook w:val="04A0" w:firstRow="1" w:lastRow="0" w:firstColumn="1" w:lastColumn="0" w:noHBand="0" w:noVBand="1"/>
      </w:tblPr>
      <w:tblGrid>
        <w:gridCol w:w="3227"/>
        <w:gridCol w:w="6735"/>
      </w:tblGrid>
      <w:tr w:rsidR="008D721B" w:rsidRPr="00F93C99" w14:paraId="1823F7F2" w14:textId="77777777" w:rsidTr="00CE4B70">
        <w:tc>
          <w:tcPr>
            <w:tcW w:w="3227" w:type="dxa"/>
          </w:tcPr>
          <w:p w14:paraId="0630C5B2" w14:textId="77777777" w:rsidR="008D721B" w:rsidRPr="00F93C99" w:rsidRDefault="008D721B" w:rsidP="006D1335">
            <w:pPr>
              <w:spacing w:after="120" w:line="240" w:lineRule="auto"/>
              <w:rPr>
                <w:b/>
                <w:bCs/>
                <w:sz w:val="24"/>
                <w:szCs w:val="32"/>
              </w:rPr>
            </w:pPr>
            <w:r w:rsidRPr="00F93C99">
              <w:rPr>
                <w:b/>
                <w:bCs/>
                <w:sz w:val="24"/>
                <w:szCs w:val="32"/>
              </w:rPr>
              <w:t>BNF</w:t>
            </w:r>
            <w:r w:rsidR="002C040E" w:rsidRPr="00F93C99">
              <w:rPr>
                <w:b/>
                <w:bCs/>
                <w:sz w:val="24"/>
                <w:szCs w:val="32"/>
              </w:rPr>
              <w:t xml:space="preserve"> and BNFC</w:t>
            </w:r>
          </w:p>
        </w:tc>
        <w:tc>
          <w:tcPr>
            <w:tcW w:w="6735" w:type="dxa"/>
          </w:tcPr>
          <w:p w14:paraId="181CF8EF" w14:textId="77777777" w:rsidR="00672CD0" w:rsidRDefault="00672CD0" w:rsidP="001C5162">
            <w:pPr>
              <w:spacing w:after="120" w:line="240" w:lineRule="auto"/>
              <w:rPr>
                <w:b/>
                <w:bCs/>
              </w:rPr>
            </w:pPr>
            <w:r>
              <w:rPr>
                <w:b/>
                <w:bCs/>
              </w:rPr>
              <w:t>General</w:t>
            </w:r>
          </w:p>
          <w:p w14:paraId="2A86B64D" w14:textId="77777777" w:rsidR="008D721B" w:rsidRPr="00F93C99" w:rsidRDefault="008D721B" w:rsidP="001C5162">
            <w:pPr>
              <w:spacing w:after="120" w:line="240" w:lineRule="auto"/>
            </w:pPr>
            <w:r w:rsidRPr="00F93C99">
              <w:t>The introductory paragraphs to sections often contain important information which can be missed if users consult individual monographs only.</w:t>
            </w:r>
          </w:p>
          <w:p w14:paraId="0D0C7AC6" w14:textId="3546AA3E" w:rsidR="001C5162" w:rsidRPr="00F93C99" w:rsidRDefault="001C5162" w:rsidP="001C5162">
            <w:pPr>
              <w:spacing w:after="120" w:line="240" w:lineRule="auto"/>
            </w:pPr>
            <w:r w:rsidRPr="00F93C99">
              <w:t>For children’s doses, use the BNFC; some products (especially those that are only used in children) are listed in the BNFC but not in the BNF.</w:t>
            </w:r>
          </w:p>
          <w:p w14:paraId="32CEA664" w14:textId="77777777" w:rsidR="001C5162" w:rsidRPr="00F93C99" w:rsidRDefault="001C5162" w:rsidP="001C5162">
            <w:pPr>
              <w:spacing w:after="120" w:line="240" w:lineRule="auto"/>
              <w:rPr>
                <w:b/>
                <w:bCs/>
              </w:rPr>
            </w:pPr>
            <w:r w:rsidRPr="00F93C99">
              <w:rPr>
                <w:b/>
                <w:bCs/>
              </w:rPr>
              <w:t>Doses and Indications</w:t>
            </w:r>
          </w:p>
          <w:p w14:paraId="3CD22777" w14:textId="4224E6A0" w:rsidR="001C5162" w:rsidRPr="00F93C99" w:rsidRDefault="001C5162" w:rsidP="001C5162">
            <w:pPr>
              <w:pStyle w:val="ListParagraph"/>
              <w:numPr>
                <w:ilvl w:val="0"/>
                <w:numId w:val="13"/>
              </w:numPr>
              <w:spacing w:after="120" w:line="240" w:lineRule="auto"/>
              <w:ind w:left="714" w:hanging="357"/>
              <w:contextualSpacing w:val="0"/>
            </w:pPr>
            <w:r w:rsidRPr="00F93C99">
              <w:t xml:space="preserve">Manufacturers are not required to notify the BNF/BNFC editors of changes to </w:t>
            </w:r>
            <w:proofErr w:type="spellStart"/>
            <w:r w:rsidRPr="00F93C99">
              <w:t>S</w:t>
            </w:r>
            <w:r w:rsidR="00D736B6">
              <w:t>m</w:t>
            </w:r>
            <w:r w:rsidRPr="00F93C99">
              <w:t>PCs</w:t>
            </w:r>
            <w:proofErr w:type="spellEnd"/>
            <w:r w:rsidRPr="00F93C99">
              <w:t>. Therefore, the BNF and BNFC may not reflect the current S</w:t>
            </w:r>
            <w:r w:rsidR="00D736B6">
              <w:t>m</w:t>
            </w:r>
            <w:r w:rsidRPr="00F93C99">
              <w:t>PC if it has changed recently.</w:t>
            </w:r>
            <w:r w:rsidR="00672CD0">
              <w:t xml:space="preserve"> See: </w:t>
            </w:r>
            <w:hyperlink r:id="rId11" w:history="1">
              <w:r w:rsidR="00672CD0" w:rsidRPr="00147583">
                <w:rPr>
                  <w:rStyle w:val="Hyperlink"/>
                </w:rPr>
                <w:t>https://pipaonline.org/mhra-statement-on-notifying-the-bnf-of-updates-to-smpcs-and-pils/</w:t>
              </w:r>
            </w:hyperlink>
            <w:r w:rsidR="00672CD0">
              <w:t xml:space="preserve"> </w:t>
            </w:r>
          </w:p>
          <w:p w14:paraId="6540D19A" w14:textId="77777777" w:rsidR="001C5162" w:rsidRPr="00F93C99" w:rsidRDefault="001C5162" w:rsidP="001C5162">
            <w:pPr>
              <w:pStyle w:val="ListParagraph"/>
              <w:numPr>
                <w:ilvl w:val="0"/>
                <w:numId w:val="13"/>
              </w:numPr>
              <w:spacing w:after="120" w:line="240" w:lineRule="auto"/>
              <w:ind w:left="714" w:hanging="357"/>
              <w:contextualSpacing w:val="0"/>
            </w:pPr>
            <w:r w:rsidRPr="00F93C99">
              <w:t>Indications and doses may vary between brands and manufacturers; when a preparation is available from more than one manufacturer, the BNF reflects advice that is the most clinically relevant regardless of any variation in the marketing authorisations.</w:t>
            </w:r>
          </w:p>
          <w:p w14:paraId="02B5E4D4" w14:textId="1CB06B42" w:rsidR="001C5162" w:rsidRPr="00F93C99" w:rsidRDefault="001C5162" w:rsidP="001C5162">
            <w:pPr>
              <w:pStyle w:val="ListParagraph"/>
              <w:numPr>
                <w:ilvl w:val="0"/>
                <w:numId w:val="13"/>
              </w:numPr>
              <w:spacing w:after="120" w:line="240" w:lineRule="auto"/>
              <w:ind w:left="714" w:hanging="357"/>
              <w:contextualSpacing w:val="0"/>
            </w:pPr>
            <w:r w:rsidRPr="00F93C99">
              <w:t>Indications/ uses/ unlicensed uses etc sometimes reflect the views/ practice of experts and so may not be the same as in the S</w:t>
            </w:r>
            <w:r w:rsidR="00D736B6">
              <w:t>m</w:t>
            </w:r>
            <w:r w:rsidRPr="00F93C99">
              <w:t>PC.</w:t>
            </w:r>
          </w:p>
          <w:p w14:paraId="1718515D" w14:textId="77777777" w:rsidR="001C5162" w:rsidRPr="00F93C99" w:rsidRDefault="001C5162" w:rsidP="001C5162">
            <w:pPr>
              <w:spacing w:after="120" w:line="240" w:lineRule="auto"/>
              <w:rPr>
                <w:b/>
                <w:bCs/>
              </w:rPr>
            </w:pPr>
            <w:r w:rsidRPr="00F93C99">
              <w:rPr>
                <w:b/>
                <w:bCs/>
              </w:rPr>
              <w:t>Adverse Effects</w:t>
            </w:r>
          </w:p>
          <w:p w14:paraId="1AF6270B" w14:textId="370F825E" w:rsidR="001C5162" w:rsidRPr="00F93C99" w:rsidRDefault="001C5162" w:rsidP="001C5162">
            <w:pPr>
              <w:pStyle w:val="ListParagraph"/>
              <w:numPr>
                <w:ilvl w:val="0"/>
                <w:numId w:val="13"/>
              </w:numPr>
              <w:spacing w:after="120" w:line="240" w:lineRule="auto"/>
            </w:pPr>
            <w:r w:rsidRPr="00F93C99">
              <w:t>The BNF includes clinically relevant adverse effects for most drugs, listed alphabetically in order of frequency. The list in the BNF does not always reflect the S</w:t>
            </w:r>
            <w:r w:rsidR="00D736B6">
              <w:t>m</w:t>
            </w:r>
            <w:r w:rsidRPr="00F93C99">
              <w:t>PC. The following are usually omitted:</w:t>
            </w:r>
          </w:p>
          <w:p w14:paraId="70449BB2" w14:textId="77777777" w:rsidR="001C5162" w:rsidRPr="00F93C99" w:rsidRDefault="001C5162" w:rsidP="001C5162">
            <w:pPr>
              <w:pStyle w:val="ListParagraph"/>
              <w:numPr>
                <w:ilvl w:val="1"/>
                <w:numId w:val="13"/>
              </w:numPr>
              <w:spacing w:after="120" w:line="240" w:lineRule="auto"/>
            </w:pPr>
            <w:r w:rsidRPr="00F93C99">
              <w:t>Hypersensitivity reactions (unless particularly common or the manufacturer provides specific management advice) as these occur with virtually all drugs;</w:t>
            </w:r>
          </w:p>
          <w:p w14:paraId="1315FF8A" w14:textId="77777777" w:rsidR="001C5162" w:rsidRPr="00F93C99" w:rsidRDefault="001C5162" w:rsidP="001C5162">
            <w:pPr>
              <w:pStyle w:val="ListParagraph"/>
              <w:numPr>
                <w:ilvl w:val="1"/>
                <w:numId w:val="13"/>
              </w:numPr>
              <w:spacing w:after="120" w:line="240" w:lineRule="auto"/>
            </w:pPr>
            <w:r w:rsidRPr="00F93C99">
              <w:t xml:space="preserve">An exhaustive list is not included for drugs that are used by specialists (e.g. cytotoxic drugs and drugs used in anaesthesia). </w:t>
            </w:r>
          </w:p>
          <w:p w14:paraId="4DF91EFC" w14:textId="77777777" w:rsidR="001C5162" w:rsidRPr="00F93C99" w:rsidRDefault="001C5162" w:rsidP="001C5162">
            <w:pPr>
              <w:pStyle w:val="ListParagraph"/>
              <w:numPr>
                <w:ilvl w:val="1"/>
                <w:numId w:val="13"/>
              </w:numPr>
              <w:spacing w:after="120" w:line="240" w:lineRule="auto"/>
            </w:pPr>
            <w:r w:rsidRPr="00F93C99">
              <w:t>Reactions likely to have little clinical consequence</w:t>
            </w:r>
          </w:p>
          <w:p w14:paraId="692678D2" w14:textId="77777777" w:rsidR="001C5162" w:rsidRPr="00F93C99" w:rsidRDefault="001C5162" w:rsidP="001C5162">
            <w:pPr>
              <w:pStyle w:val="ListParagraph"/>
              <w:numPr>
                <w:ilvl w:val="1"/>
                <w:numId w:val="13"/>
              </w:numPr>
              <w:spacing w:after="120" w:line="240" w:lineRule="auto"/>
            </w:pPr>
            <w:r w:rsidRPr="00F93C99">
              <w:t xml:space="preserve">Reactions where causality has not been established, </w:t>
            </w:r>
          </w:p>
          <w:p w14:paraId="03F5F0E0" w14:textId="77777777" w:rsidR="001C5162" w:rsidRPr="00F93C99" w:rsidRDefault="001C5162" w:rsidP="001C5162">
            <w:pPr>
              <w:spacing w:after="120" w:line="240" w:lineRule="auto"/>
              <w:rPr>
                <w:b/>
                <w:bCs/>
              </w:rPr>
            </w:pPr>
            <w:r w:rsidRPr="00F93C99">
              <w:rPr>
                <w:b/>
                <w:bCs/>
              </w:rPr>
              <w:t>Interactions</w:t>
            </w:r>
          </w:p>
          <w:p w14:paraId="0D267A06" w14:textId="77777777" w:rsidR="006743A3" w:rsidRPr="00F93C99" w:rsidRDefault="008D721B" w:rsidP="001C5162">
            <w:pPr>
              <w:pStyle w:val="ListParagraph"/>
              <w:numPr>
                <w:ilvl w:val="0"/>
                <w:numId w:val="13"/>
              </w:numPr>
              <w:spacing w:after="120" w:line="240" w:lineRule="auto"/>
              <w:ind w:left="714" w:hanging="357"/>
              <w:contextualSpacing w:val="0"/>
            </w:pPr>
            <w:r w:rsidRPr="00F93C99">
              <w:t>For interactions check Appendix 1, the drug monograph and the drug group or section monograph.</w:t>
            </w:r>
            <w:r w:rsidR="004F6F5D" w:rsidRPr="00F93C99">
              <w:t xml:space="preserve"> Note that many interactions marked ‘severe’ are also theoretical; use professional judgement (and a second resource) to help interpret the clinical relevance of interactions.</w:t>
            </w:r>
          </w:p>
        </w:tc>
      </w:tr>
      <w:tr w:rsidR="00BA4B3E" w:rsidRPr="00F93C99" w14:paraId="312FF2AA" w14:textId="77777777" w:rsidTr="00CE4B70">
        <w:tc>
          <w:tcPr>
            <w:tcW w:w="3227" w:type="dxa"/>
          </w:tcPr>
          <w:p w14:paraId="36EBC87F" w14:textId="77777777" w:rsidR="00BA4B3E" w:rsidRPr="00F93C99" w:rsidRDefault="00BA4B3E" w:rsidP="006D1335">
            <w:pPr>
              <w:spacing w:after="120" w:line="240" w:lineRule="auto"/>
              <w:rPr>
                <w:b/>
                <w:bCs/>
                <w:sz w:val="24"/>
                <w:szCs w:val="32"/>
              </w:rPr>
            </w:pPr>
            <w:r w:rsidRPr="00F93C99">
              <w:rPr>
                <w:b/>
                <w:bCs/>
                <w:sz w:val="24"/>
                <w:szCs w:val="32"/>
              </w:rPr>
              <w:t>Drug Tariff</w:t>
            </w:r>
          </w:p>
        </w:tc>
        <w:tc>
          <w:tcPr>
            <w:tcW w:w="6735" w:type="dxa"/>
          </w:tcPr>
          <w:p w14:paraId="0E7771DA" w14:textId="77777777" w:rsidR="00BA4B3E" w:rsidRPr="00F93C99" w:rsidRDefault="00BA4B3E" w:rsidP="006D1335">
            <w:pPr>
              <w:spacing w:after="120" w:line="240" w:lineRule="auto"/>
            </w:pPr>
            <w:r w:rsidRPr="00F93C99">
              <w:t xml:space="preserve">The </w:t>
            </w:r>
            <w:r w:rsidRPr="00F93C99">
              <w:rPr>
                <w:i/>
                <w:iCs/>
              </w:rPr>
              <w:t xml:space="preserve">Drug Tariff </w:t>
            </w:r>
            <w:r w:rsidRPr="00F93C99">
              <w:t xml:space="preserve">is a list of drugs and </w:t>
            </w:r>
            <w:r w:rsidR="00CF3139" w:rsidRPr="00F93C99">
              <w:t xml:space="preserve">services, and </w:t>
            </w:r>
            <w:r w:rsidRPr="00F93C99">
              <w:t>prices paid by the NHS to community pharmacy contractors</w:t>
            </w:r>
            <w:r w:rsidR="00CF3139" w:rsidRPr="00F93C99">
              <w:t xml:space="preserve"> under the General Medical Services contract</w:t>
            </w:r>
            <w:r w:rsidRPr="00F93C99">
              <w:t>. Useful points to note are:</w:t>
            </w:r>
          </w:p>
          <w:p w14:paraId="17577723" w14:textId="605BB8C2" w:rsidR="00BA4B3E" w:rsidRPr="00F93C99" w:rsidRDefault="00BA4B3E" w:rsidP="00BA4B3E">
            <w:pPr>
              <w:pStyle w:val="ListParagraph"/>
              <w:numPr>
                <w:ilvl w:val="0"/>
                <w:numId w:val="13"/>
              </w:numPr>
              <w:spacing w:after="120" w:line="240" w:lineRule="auto"/>
            </w:pPr>
            <w:r w:rsidRPr="00F93C99">
              <w:rPr>
                <w:i/>
                <w:iCs/>
              </w:rPr>
              <w:t xml:space="preserve">Medical devices </w:t>
            </w:r>
            <w:r w:rsidRPr="00F93C99">
              <w:t xml:space="preserve">must be </w:t>
            </w:r>
            <w:r w:rsidRPr="00F93C99">
              <w:rPr>
                <w:i/>
                <w:iCs/>
              </w:rPr>
              <w:t xml:space="preserve">in </w:t>
            </w:r>
            <w:r w:rsidRPr="00F93C99">
              <w:t xml:space="preserve">the </w:t>
            </w:r>
            <w:r w:rsidRPr="00F93C99">
              <w:rPr>
                <w:i/>
                <w:iCs/>
              </w:rPr>
              <w:t xml:space="preserve">Drug Tariff </w:t>
            </w:r>
            <w:r w:rsidR="003072F4">
              <w:t>to</w:t>
            </w:r>
            <w:r w:rsidRPr="00F93C99">
              <w:t xml:space="preserve"> be reimbursable.</w:t>
            </w:r>
          </w:p>
          <w:p w14:paraId="1182435F" w14:textId="36E56EE1" w:rsidR="006F1FEF" w:rsidRPr="00F93C99" w:rsidRDefault="00BA4B3E" w:rsidP="00BA4B3E">
            <w:pPr>
              <w:pStyle w:val="ListParagraph"/>
              <w:numPr>
                <w:ilvl w:val="0"/>
                <w:numId w:val="13"/>
              </w:numPr>
              <w:spacing w:after="120" w:line="240" w:lineRule="auto"/>
            </w:pPr>
            <w:r w:rsidRPr="00F93C99">
              <w:rPr>
                <w:i/>
                <w:iCs/>
              </w:rPr>
              <w:t xml:space="preserve">Drugs and other substances </w:t>
            </w:r>
            <w:r w:rsidR="00CF3139" w:rsidRPr="00F93C99">
              <w:t xml:space="preserve">that are not medical devices </w:t>
            </w:r>
            <w:r w:rsidRPr="00F93C99">
              <w:t xml:space="preserve">do not need to be in the </w:t>
            </w:r>
            <w:r w:rsidRPr="00F93C99">
              <w:rPr>
                <w:i/>
                <w:iCs/>
              </w:rPr>
              <w:t xml:space="preserve">Tariff </w:t>
            </w:r>
            <w:r w:rsidRPr="00F93C99">
              <w:t xml:space="preserve">but they must </w:t>
            </w:r>
            <w:r w:rsidRPr="00F93C99">
              <w:rPr>
                <w:i/>
                <w:iCs/>
              </w:rPr>
              <w:t xml:space="preserve">not </w:t>
            </w:r>
            <w:r w:rsidRPr="00F93C99">
              <w:t>be listed in</w:t>
            </w:r>
            <w:r w:rsidR="006F1FEF" w:rsidRPr="00F93C99">
              <w:t xml:space="preserve"> the relevant country’s </w:t>
            </w:r>
            <w:r w:rsidR="006F1FEF" w:rsidRPr="00F93C99">
              <w:rPr>
                <w:i/>
                <w:iCs/>
              </w:rPr>
              <w:t xml:space="preserve">Tariff </w:t>
            </w:r>
            <w:r w:rsidR="006F1FEF" w:rsidRPr="00F93C99">
              <w:t>as follows:</w:t>
            </w:r>
          </w:p>
          <w:p w14:paraId="4D5F5C31" w14:textId="77777777" w:rsidR="006F1FEF" w:rsidRPr="00F93C99" w:rsidRDefault="006F1FEF" w:rsidP="006F1FEF">
            <w:pPr>
              <w:pStyle w:val="ListParagraph"/>
              <w:numPr>
                <w:ilvl w:val="1"/>
                <w:numId w:val="13"/>
              </w:numPr>
              <w:spacing w:after="120" w:line="240" w:lineRule="auto"/>
            </w:pPr>
            <w:r w:rsidRPr="00F93C99">
              <w:rPr>
                <w:b/>
                <w:bCs/>
              </w:rPr>
              <w:t>England &amp; Wales:</w:t>
            </w:r>
            <w:r w:rsidR="00BA4B3E" w:rsidRPr="00F93C99">
              <w:t xml:space="preserve"> </w:t>
            </w:r>
            <w:r w:rsidRPr="00F93C99">
              <w:t>Part</w:t>
            </w:r>
            <w:r w:rsidR="00BA4B3E" w:rsidRPr="00F93C99">
              <w:t xml:space="preserve"> XVIIIA (Drugs, Medicines and Other Substances not to be ordered under a General Medical Services Contract) [commonly known as ‘the </w:t>
            </w:r>
            <w:r w:rsidR="00BA4B3E" w:rsidRPr="00F93C99">
              <w:lastRenderedPageBreak/>
              <w:t>Black List’]</w:t>
            </w:r>
            <w:r w:rsidRPr="00F93C99">
              <w:t>;</w:t>
            </w:r>
          </w:p>
          <w:p w14:paraId="5E60A4FB" w14:textId="77777777" w:rsidR="006F1FEF" w:rsidRPr="00F93C99" w:rsidRDefault="006F1FEF" w:rsidP="00866639">
            <w:pPr>
              <w:pStyle w:val="ListParagraph"/>
              <w:numPr>
                <w:ilvl w:val="1"/>
                <w:numId w:val="13"/>
              </w:numPr>
              <w:spacing w:after="120" w:line="240" w:lineRule="auto"/>
            </w:pPr>
            <w:r w:rsidRPr="00F93C99">
              <w:rPr>
                <w:b/>
                <w:bCs/>
              </w:rPr>
              <w:t xml:space="preserve">Scotland: </w:t>
            </w:r>
            <w:r w:rsidRPr="00F93C99">
              <w:rPr>
                <w:i/>
                <w:iCs/>
              </w:rPr>
              <w:t>Schedule 1 to the GMS Regulations;</w:t>
            </w:r>
          </w:p>
          <w:p w14:paraId="3CA62194" w14:textId="77777777" w:rsidR="00BA4B3E" w:rsidRPr="00F93C99" w:rsidRDefault="006F1FEF" w:rsidP="00866639">
            <w:pPr>
              <w:pStyle w:val="ListParagraph"/>
              <w:numPr>
                <w:ilvl w:val="1"/>
                <w:numId w:val="13"/>
              </w:numPr>
              <w:spacing w:after="120" w:line="240" w:lineRule="auto"/>
            </w:pPr>
            <w:r w:rsidRPr="00F93C99">
              <w:rPr>
                <w:b/>
                <w:bCs/>
              </w:rPr>
              <w:t xml:space="preserve">Northern Ireland: </w:t>
            </w:r>
            <w:r w:rsidRPr="00F93C99">
              <w:t xml:space="preserve">Part </w:t>
            </w:r>
            <w:proofErr w:type="spellStart"/>
            <w:r w:rsidRPr="00F93C99">
              <w:t>IXa</w:t>
            </w:r>
            <w:proofErr w:type="spellEnd"/>
            <w:r w:rsidRPr="00F93C99">
              <w:t xml:space="preserve"> of the </w:t>
            </w:r>
            <w:r w:rsidRPr="00F93C99">
              <w:rPr>
                <w:i/>
                <w:iCs/>
              </w:rPr>
              <w:t>Tariff</w:t>
            </w:r>
            <w:r w:rsidRPr="00F93C99">
              <w:t>.</w:t>
            </w:r>
          </w:p>
          <w:p w14:paraId="4C62EFED" w14:textId="77777777" w:rsidR="00BA4B3E" w:rsidRPr="00F93C99" w:rsidRDefault="00BA4B3E" w:rsidP="00BA4B3E">
            <w:pPr>
              <w:spacing w:after="120" w:line="240" w:lineRule="auto"/>
              <w:rPr>
                <w:i/>
                <w:iCs/>
              </w:rPr>
            </w:pPr>
            <w:r w:rsidRPr="00F93C99">
              <w:t xml:space="preserve">When searching for a particular product, bear in mind that the full brand name may not always be listed, e.g. Cow &amp; Gate </w:t>
            </w:r>
            <w:proofErr w:type="spellStart"/>
            <w:r w:rsidRPr="00F93C99">
              <w:t>Nutriprem</w:t>
            </w:r>
            <w:proofErr w:type="spellEnd"/>
            <w:r w:rsidRPr="00F93C99">
              <w:t xml:space="preserve"> is only listed as ‘</w:t>
            </w:r>
            <w:proofErr w:type="spellStart"/>
            <w:r w:rsidRPr="00F93C99">
              <w:t>Nutriprem</w:t>
            </w:r>
            <w:proofErr w:type="spellEnd"/>
            <w:r w:rsidRPr="00F93C99">
              <w:t>’, even though other Cow &amp; Gate products are listed in</w:t>
            </w:r>
            <w:r w:rsidR="00CF3139" w:rsidRPr="00F93C99">
              <w:t xml:space="preserve"> the ‘do not prescribe’ sections</w:t>
            </w:r>
            <w:r w:rsidRPr="00F93C99">
              <w:t xml:space="preserve"> as </w:t>
            </w:r>
            <w:r w:rsidRPr="00F93C99">
              <w:rPr>
                <w:i/>
                <w:iCs/>
              </w:rPr>
              <w:t>Cow &amp; Gate XXXX.</w:t>
            </w:r>
          </w:p>
          <w:p w14:paraId="0A9B23AE" w14:textId="77777777" w:rsidR="00BA4B3E" w:rsidRPr="00F93C99" w:rsidRDefault="00BA4B3E" w:rsidP="00BA4B3E">
            <w:pPr>
              <w:spacing w:after="120" w:line="240" w:lineRule="auto"/>
            </w:pPr>
            <w:r w:rsidRPr="00F93C99">
              <w:t>‘Borderline substances’ (such as some infant milks etc) are only prescribable when prescribed for the relevant indication. If they are endorsed ‘ACBS’ the Prescription Pricing Authority will not investigate.</w:t>
            </w:r>
          </w:p>
          <w:p w14:paraId="10286B33" w14:textId="77777777" w:rsidR="00BA4B3E" w:rsidRDefault="00BA4B3E" w:rsidP="00BA4B3E">
            <w:pPr>
              <w:spacing w:after="120" w:line="240" w:lineRule="auto"/>
            </w:pPr>
            <w:r w:rsidRPr="00F93C99">
              <w:t xml:space="preserve">Some drugs are only prescribable in certain </w:t>
            </w:r>
            <w:r w:rsidR="006F1FEF" w:rsidRPr="00F93C99">
              <w:t xml:space="preserve">circumstances. </w:t>
            </w:r>
            <w:r w:rsidR="00CF3139" w:rsidRPr="00F93C99">
              <w:t>(</w:t>
            </w:r>
            <w:r w:rsidR="006F1FEF" w:rsidRPr="00F93C99">
              <w:t>There are separate lists for</w:t>
            </w:r>
            <w:r w:rsidR="003C6880">
              <w:t xml:space="preserve"> each of the Home Countries</w:t>
            </w:r>
            <w:r w:rsidR="00CF3139" w:rsidRPr="00F93C99">
              <w:t>.)</w:t>
            </w:r>
          </w:p>
          <w:p w14:paraId="7CB46FBF" w14:textId="03472F77" w:rsidR="00955B73" w:rsidRPr="00724531" w:rsidRDefault="00955B73" w:rsidP="00BA4B3E">
            <w:pPr>
              <w:spacing w:after="120" w:line="240" w:lineRule="auto"/>
            </w:pPr>
            <w:r>
              <w:t xml:space="preserve">Community Pharmacy England has resources on </w:t>
            </w:r>
            <w:r w:rsidR="00724531">
              <w:t xml:space="preserve">interpreting and using the </w:t>
            </w:r>
            <w:r w:rsidR="00724531">
              <w:rPr>
                <w:i/>
                <w:iCs/>
              </w:rPr>
              <w:t>Drug Tariff</w:t>
            </w:r>
            <w:r w:rsidR="00724531">
              <w:t xml:space="preserve">: </w:t>
            </w:r>
            <w:hyperlink r:id="rId12" w:history="1">
              <w:r w:rsidR="00724531" w:rsidRPr="00656DFF">
                <w:rPr>
                  <w:rStyle w:val="Hyperlink"/>
                </w:rPr>
                <w:t>https://cpe.org.uk/dispensing-and-supply/dispensing-process/drug-tariff-resources/</w:t>
              </w:r>
            </w:hyperlink>
            <w:r w:rsidR="00724531">
              <w:t xml:space="preserve"> </w:t>
            </w:r>
          </w:p>
        </w:tc>
      </w:tr>
      <w:tr w:rsidR="006743A3" w:rsidRPr="00F93C99" w14:paraId="1EEEB1B5" w14:textId="77777777" w:rsidTr="00CE4B70">
        <w:tc>
          <w:tcPr>
            <w:tcW w:w="3227" w:type="dxa"/>
          </w:tcPr>
          <w:p w14:paraId="177D3C67" w14:textId="77777777" w:rsidR="006743A3" w:rsidRPr="00F93C99" w:rsidRDefault="006743A3" w:rsidP="006D1335">
            <w:pPr>
              <w:spacing w:after="120" w:line="240" w:lineRule="auto"/>
              <w:rPr>
                <w:b/>
                <w:bCs/>
                <w:sz w:val="24"/>
                <w:szCs w:val="32"/>
              </w:rPr>
            </w:pPr>
            <w:r w:rsidRPr="00F93C99">
              <w:rPr>
                <w:b/>
                <w:bCs/>
                <w:sz w:val="24"/>
                <w:szCs w:val="32"/>
              </w:rPr>
              <w:lastRenderedPageBreak/>
              <w:t>Fungal Drug Interactions</w:t>
            </w:r>
          </w:p>
          <w:p w14:paraId="3A82EA53" w14:textId="6DF6749D" w:rsidR="006743A3" w:rsidRPr="00F93C99" w:rsidRDefault="007B7B3C" w:rsidP="006D1335">
            <w:pPr>
              <w:spacing w:after="120" w:line="240" w:lineRule="auto"/>
              <w:rPr>
                <w:b/>
                <w:bCs/>
                <w:sz w:val="24"/>
                <w:szCs w:val="32"/>
              </w:rPr>
            </w:pPr>
            <w:hyperlink r:id="rId13" w:history="1">
              <w:r w:rsidRPr="00D138D8">
                <w:rPr>
                  <w:rStyle w:val="Hyperlink"/>
                  <w:b/>
                  <w:bCs/>
                </w:rPr>
                <w:t>https://www.aspergillus.org.uk/antifungal-drug-interactions/</w:t>
              </w:r>
            </w:hyperlink>
            <w:r>
              <w:rPr>
                <w:b/>
                <w:bCs/>
              </w:rPr>
              <w:t xml:space="preserve"> </w:t>
            </w:r>
            <w:r w:rsidR="00A75CB0">
              <w:rPr>
                <w:b/>
                <w:bCs/>
              </w:rPr>
              <w:t xml:space="preserve">  </w:t>
            </w:r>
          </w:p>
        </w:tc>
        <w:tc>
          <w:tcPr>
            <w:tcW w:w="6735" w:type="dxa"/>
          </w:tcPr>
          <w:p w14:paraId="4B6440C0" w14:textId="4E08939B" w:rsidR="006743A3" w:rsidRDefault="006743A3" w:rsidP="0055051B">
            <w:r w:rsidRPr="00F93C99">
              <w:t xml:space="preserve">The information in this resource is currently not referenced. On investigation information appears to be taken from </w:t>
            </w:r>
            <w:proofErr w:type="spellStart"/>
            <w:r w:rsidRPr="00F93C99">
              <w:t>S</w:t>
            </w:r>
            <w:r w:rsidR="00484268">
              <w:t>m</w:t>
            </w:r>
            <w:r w:rsidRPr="00F93C99">
              <w:t>PCs</w:t>
            </w:r>
            <w:proofErr w:type="spellEnd"/>
            <w:r w:rsidRPr="00F93C99">
              <w:t xml:space="preserve">, CYP websites, clinical opinion at Manchester University, in addition to information taken from primary sources found via literature searches. </w:t>
            </w:r>
          </w:p>
          <w:p w14:paraId="6014F458" w14:textId="77777777" w:rsidR="006743A3" w:rsidRPr="00F93C99" w:rsidRDefault="00672CD0" w:rsidP="00672CD0">
            <w:r>
              <w:t>Use this resource in conjunction with other recommended drug interaction resources to ensure all relevant information is found and your answer can be appropriately referenced.</w:t>
            </w:r>
          </w:p>
        </w:tc>
      </w:tr>
      <w:tr w:rsidR="00750005" w:rsidRPr="00F93C99" w14:paraId="02BB4E96" w14:textId="77777777" w:rsidTr="00CE4B70">
        <w:tc>
          <w:tcPr>
            <w:tcW w:w="3227" w:type="dxa"/>
          </w:tcPr>
          <w:p w14:paraId="46242925" w14:textId="50F48899" w:rsidR="00750005" w:rsidRDefault="00EB6116" w:rsidP="00750005">
            <w:pPr>
              <w:spacing w:after="120" w:line="240" w:lineRule="auto"/>
              <w:rPr>
                <w:b/>
                <w:bCs/>
                <w:sz w:val="24"/>
                <w:szCs w:val="32"/>
              </w:rPr>
            </w:pPr>
            <w:r>
              <w:rPr>
                <w:b/>
                <w:bCs/>
                <w:sz w:val="24"/>
                <w:szCs w:val="32"/>
              </w:rPr>
              <w:t>OVID</w:t>
            </w:r>
          </w:p>
          <w:p w14:paraId="744B59B6" w14:textId="77777777" w:rsidR="00AE1BFB" w:rsidRDefault="00AE1BFB" w:rsidP="00AE1BFB">
            <w:pPr>
              <w:pStyle w:val="ListParagraph"/>
              <w:numPr>
                <w:ilvl w:val="0"/>
                <w:numId w:val="13"/>
              </w:numPr>
              <w:spacing w:after="120" w:line="240" w:lineRule="auto"/>
              <w:rPr>
                <w:b/>
                <w:bCs/>
                <w:sz w:val="24"/>
                <w:szCs w:val="32"/>
              </w:rPr>
            </w:pPr>
            <w:r>
              <w:rPr>
                <w:b/>
                <w:bCs/>
                <w:sz w:val="24"/>
                <w:szCs w:val="32"/>
              </w:rPr>
              <w:t>Embase</w:t>
            </w:r>
          </w:p>
          <w:p w14:paraId="09BDA331" w14:textId="77777777" w:rsidR="00AE1BFB" w:rsidRDefault="00AE1BFB" w:rsidP="00AE1BFB">
            <w:pPr>
              <w:pStyle w:val="ListParagraph"/>
              <w:numPr>
                <w:ilvl w:val="0"/>
                <w:numId w:val="13"/>
              </w:numPr>
              <w:spacing w:after="120" w:line="240" w:lineRule="auto"/>
              <w:rPr>
                <w:b/>
                <w:bCs/>
                <w:sz w:val="24"/>
                <w:szCs w:val="32"/>
              </w:rPr>
            </w:pPr>
            <w:r>
              <w:rPr>
                <w:b/>
                <w:bCs/>
                <w:sz w:val="24"/>
                <w:szCs w:val="32"/>
              </w:rPr>
              <w:t>Medline</w:t>
            </w:r>
          </w:p>
          <w:p w14:paraId="4B2A3CE2" w14:textId="77777777" w:rsidR="00750005" w:rsidRPr="00AE1BFB" w:rsidRDefault="00AE1BFB" w:rsidP="00750005">
            <w:pPr>
              <w:pStyle w:val="ListParagraph"/>
              <w:numPr>
                <w:ilvl w:val="0"/>
                <w:numId w:val="13"/>
              </w:numPr>
              <w:spacing w:after="120" w:line="240" w:lineRule="auto"/>
              <w:rPr>
                <w:b/>
                <w:bCs/>
                <w:sz w:val="24"/>
                <w:szCs w:val="32"/>
              </w:rPr>
            </w:pPr>
            <w:r>
              <w:rPr>
                <w:b/>
                <w:bCs/>
                <w:sz w:val="24"/>
                <w:szCs w:val="32"/>
              </w:rPr>
              <w:t>Others</w:t>
            </w:r>
          </w:p>
        </w:tc>
        <w:tc>
          <w:tcPr>
            <w:tcW w:w="6735" w:type="dxa"/>
          </w:tcPr>
          <w:p w14:paraId="2E6E78C7" w14:textId="77777777" w:rsidR="00837B69" w:rsidRPr="00F93C99" w:rsidRDefault="00837B69" w:rsidP="00750005">
            <w:pPr>
              <w:spacing w:after="120" w:line="240" w:lineRule="auto"/>
              <w:rPr>
                <w:b/>
                <w:bCs/>
              </w:rPr>
            </w:pPr>
            <w:r w:rsidRPr="00F93C99">
              <w:rPr>
                <w:b/>
                <w:bCs/>
              </w:rPr>
              <w:t>General/All Databases</w:t>
            </w:r>
          </w:p>
          <w:p w14:paraId="35A26919" w14:textId="77777777" w:rsidR="00750005" w:rsidRDefault="00750005" w:rsidP="00837B69">
            <w:pPr>
              <w:pStyle w:val="ListParagraph"/>
              <w:numPr>
                <w:ilvl w:val="0"/>
                <w:numId w:val="25"/>
              </w:numPr>
              <w:spacing w:after="120" w:line="240" w:lineRule="auto"/>
              <w:ind w:left="714" w:hanging="357"/>
              <w:contextualSpacing w:val="0"/>
            </w:pPr>
            <w:r w:rsidRPr="00F93C99">
              <w:t>All the databases cover different ranges of years so bear this in mind when looking for older drugs</w:t>
            </w:r>
            <w:r w:rsidR="00B37DF8">
              <w:t>.</w:t>
            </w:r>
          </w:p>
          <w:p w14:paraId="32A6A379" w14:textId="77777777" w:rsidR="00B37DF8" w:rsidRPr="00F93C99" w:rsidRDefault="00B37DF8" w:rsidP="00837B69">
            <w:pPr>
              <w:pStyle w:val="ListParagraph"/>
              <w:numPr>
                <w:ilvl w:val="0"/>
                <w:numId w:val="25"/>
              </w:numPr>
              <w:spacing w:after="120" w:line="240" w:lineRule="auto"/>
              <w:ind w:left="714" w:hanging="357"/>
              <w:contextualSpacing w:val="0"/>
            </w:pPr>
            <w:r>
              <w:t>Each database covers a slightly different subject range; ensure you are searching the database most likely to contain the information you want.</w:t>
            </w:r>
            <w:r w:rsidR="00210991">
              <w:t xml:space="preserve"> </w:t>
            </w:r>
          </w:p>
          <w:p w14:paraId="3DDA260F" w14:textId="77777777" w:rsidR="00750005" w:rsidRDefault="00750005" w:rsidP="00750005">
            <w:pPr>
              <w:pStyle w:val="ListParagraph"/>
              <w:numPr>
                <w:ilvl w:val="0"/>
                <w:numId w:val="25"/>
              </w:numPr>
              <w:spacing w:after="120" w:line="240" w:lineRule="auto"/>
              <w:ind w:left="714" w:hanging="357"/>
              <w:contextualSpacing w:val="0"/>
            </w:pPr>
            <w:r w:rsidRPr="00F93C99">
              <w:t>Remember to think laterally and try a variety of search strategies to find relevant results.</w:t>
            </w:r>
          </w:p>
          <w:p w14:paraId="64A2DB2F" w14:textId="78E16DC5" w:rsidR="006C4A58" w:rsidRPr="006C4A58" w:rsidRDefault="00D9732B" w:rsidP="00376D66">
            <w:pPr>
              <w:pStyle w:val="ListParagraph"/>
              <w:numPr>
                <w:ilvl w:val="0"/>
                <w:numId w:val="25"/>
              </w:numPr>
              <w:spacing w:after="120" w:line="240" w:lineRule="auto"/>
              <w:rPr>
                <w:rFonts w:ascii="Times New Roman" w:hAnsi="Times New Roman"/>
                <w:szCs w:val="24"/>
                <w:lang w:eastAsia="en-GB"/>
              </w:rPr>
            </w:pPr>
            <w:r>
              <w:t xml:space="preserve">For </w:t>
            </w:r>
            <w:r w:rsidR="006C4A58">
              <w:t xml:space="preserve">a summary of the differences between PubMed, Embase, and Medline see: </w:t>
            </w:r>
            <w:hyperlink r:id="rId14" w:history="1">
              <w:r w:rsidR="00F2727D" w:rsidRPr="00DE45F1">
                <w:rPr>
                  <w:rStyle w:val="Hyperlink"/>
                </w:rPr>
                <w:t>https://kemh.libguides.com/research/FAQ_Database_differences</w:t>
              </w:r>
            </w:hyperlink>
            <w:r w:rsidR="00F2727D">
              <w:t xml:space="preserve"> </w:t>
            </w:r>
          </w:p>
          <w:p w14:paraId="2518B9A3" w14:textId="4B4335DC" w:rsidR="00D9732B" w:rsidRPr="006C4A58" w:rsidRDefault="000B492F" w:rsidP="006C4A58">
            <w:pPr>
              <w:rPr>
                <w:b/>
                <w:bCs/>
              </w:rPr>
            </w:pPr>
            <w:r>
              <w:t xml:space="preserve"> </w:t>
            </w:r>
            <w:r w:rsidR="00D9732B" w:rsidRPr="006C4A58">
              <w:rPr>
                <w:b/>
                <w:bCs/>
              </w:rPr>
              <w:t>Embase</w:t>
            </w:r>
          </w:p>
          <w:p w14:paraId="40965730" w14:textId="403F3197" w:rsidR="00D9732B" w:rsidRPr="00D9732B" w:rsidRDefault="00D9732B" w:rsidP="00D9732B">
            <w:pPr>
              <w:pStyle w:val="ListParagraph"/>
              <w:numPr>
                <w:ilvl w:val="0"/>
                <w:numId w:val="25"/>
              </w:numPr>
              <w:spacing w:after="120" w:line="240" w:lineRule="auto"/>
              <w:rPr>
                <w:b/>
                <w:bCs/>
              </w:rPr>
            </w:pPr>
            <w:r>
              <w:t xml:space="preserve">Use Embase </w:t>
            </w:r>
            <w:r w:rsidR="00D73B81">
              <w:t>as</w:t>
            </w:r>
            <w:r>
              <w:t xml:space="preserve"> a first-choice database</w:t>
            </w:r>
            <w:r w:rsidR="008F36E4">
              <w:t xml:space="preserve">. </w:t>
            </w:r>
            <w:r>
              <w:t xml:space="preserve"> Embase should cover all Medline content, plus additional content – especially pharmacology/drug-oriented content, and European content.</w:t>
            </w:r>
          </w:p>
          <w:p w14:paraId="629BB662" w14:textId="77777777" w:rsidR="00750005" w:rsidRPr="00F93C99" w:rsidRDefault="00750005" w:rsidP="006D1335">
            <w:pPr>
              <w:spacing w:after="120" w:line="240" w:lineRule="auto"/>
              <w:rPr>
                <w:b/>
                <w:bCs/>
              </w:rPr>
            </w:pPr>
            <w:r w:rsidRPr="00F93C99">
              <w:rPr>
                <w:b/>
                <w:bCs/>
              </w:rPr>
              <w:t>Medline</w:t>
            </w:r>
          </w:p>
          <w:p w14:paraId="0AB0C7AA" w14:textId="09E1D64D" w:rsidR="00562089" w:rsidRDefault="00700048" w:rsidP="00700048">
            <w:pPr>
              <w:pStyle w:val="ListParagraph"/>
              <w:numPr>
                <w:ilvl w:val="0"/>
                <w:numId w:val="24"/>
              </w:numPr>
              <w:spacing w:after="120" w:line="240" w:lineRule="auto"/>
              <w:ind w:left="714" w:hanging="357"/>
              <w:contextualSpacing w:val="0"/>
            </w:pPr>
            <w:r>
              <w:t xml:space="preserve">The NELM </w:t>
            </w:r>
            <w:proofErr w:type="spellStart"/>
            <w:r>
              <w:t>MeSH</w:t>
            </w:r>
            <w:proofErr w:type="spellEnd"/>
            <w:r>
              <w:t xml:space="preserve"> browser at </w:t>
            </w:r>
            <w:hyperlink r:id="rId15" w:history="1">
              <w:r w:rsidRPr="00475F1E">
                <w:rPr>
                  <w:rStyle w:val="Hyperlink"/>
                </w:rPr>
                <w:t>https://meshb.nlm.nih.gov/search</w:t>
              </w:r>
            </w:hyperlink>
            <w:r>
              <w:t xml:space="preserve"> provides more detail on </w:t>
            </w:r>
            <w:proofErr w:type="spellStart"/>
            <w:r>
              <w:t>MeSH</w:t>
            </w:r>
            <w:proofErr w:type="spellEnd"/>
            <w:r>
              <w:t xml:space="preserve"> terms and tree structure than the inbuilt HDAS Medline thesaurus</w:t>
            </w:r>
            <w:r w:rsidR="008F36E4">
              <w:t>. I</w:t>
            </w:r>
            <w:r>
              <w:t xml:space="preserve">t is therefore helpful to consult the NELM </w:t>
            </w:r>
            <w:proofErr w:type="spellStart"/>
            <w:r>
              <w:t>MeSH</w:t>
            </w:r>
            <w:proofErr w:type="spellEnd"/>
            <w:r>
              <w:t xml:space="preserve"> browser for constructing complex searches or if you are not sure whether you are using the right search terms.</w:t>
            </w:r>
          </w:p>
          <w:p w14:paraId="3AE8741D" w14:textId="544A3B66" w:rsidR="00750005" w:rsidRPr="00F93C99" w:rsidRDefault="00210991" w:rsidP="006D1335">
            <w:pPr>
              <w:pStyle w:val="ListParagraph"/>
              <w:numPr>
                <w:ilvl w:val="0"/>
                <w:numId w:val="24"/>
              </w:numPr>
              <w:spacing w:after="120" w:line="240" w:lineRule="auto"/>
              <w:ind w:left="714" w:hanging="357"/>
              <w:contextualSpacing w:val="0"/>
            </w:pPr>
            <w:r>
              <w:t>Medline</w:t>
            </w:r>
            <w:r w:rsidR="00750005" w:rsidRPr="00F93C99">
              <w:t xml:space="preserve"> </w:t>
            </w:r>
            <w:r w:rsidR="007B6D31">
              <w:t>omits</w:t>
            </w:r>
            <w:r w:rsidR="00750005" w:rsidRPr="00F93C99">
              <w:t xml:space="preserve"> e</w:t>
            </w:r>
            <w:r>
              <w:t>-p</w:t>
            </w:r>
            <w:r w:rsidR="00750005" w:rsidRPr="00F93C99">
              <w:t xml:space="preserve">ub Ahead of Print publications. </w:t>
            </w:r>
            <w:r w:rsidR="007B6D31">
              <w:t>To</w:t>
            </w:r>
            <w:r w:rsidR="00750005" w:rsidRPr="00F93C99">
              <w:t xml:space="preserve"> access these</w:t>
            </w:r>
            <w:r w:rsidR="00D73B81">
              <w:t>, use</w:t>
            </w:r>
            <w:r w:rsidR="00750005" w:rsidRPr="00F93C99">
              <w:t xml:space="preserve"> PubMed. For a full explanation of the differences between Medline, PubMed and PubMed Central see: </w:t>
            </w:r>
            <w:hyperlink r:id="rId16" w:history="1">
              <w:r w:rsidR="00750005" w:rsidRPr="00F93C99">
                <w:rPr>
                  <w:rStyle w:val="Hyperlink"/>
                </w:rPr>
                <w:t>https://www.nlm.nih.gov/bsd/difference.html</w:t>
              </w:r>
            </w:hyperlink>
            <w:r w:rsidR="00750005" w:rsidRPr="00F93C99">
              <w:t xml:space="preserve"> </w:t>
            </w:r>
          </w:p>
        </w:tc>
      </w:tr>
      <w:tr w:rsidR="00B33D7A" w:rsidRPr="00F93C99" w14:paraId="09216CFF" w14:textId="77777777" w:rsidTr="00CE4B70">
        <w:tc>
          <w:tcPr>
            <w:tcW w:w="3227" w:type="dxa"/>
          </w:tcPr>
          <w:p w14:paraId="66C27FFF" w14:textId="77777777" w:rsidR="00B33D7A" w:rsidRPr="00F93C99" w:rsidRDefault="00B33D7A" w:rsidP="00B33D7A">
            <w:pPr>
              <w:spacing w:after="120" w:line="240" w:lineRule="auto"/>
              <w:rPr>
                <w:b/>
                <w:bCs/>
                <w:sz w:val="24"/>
                <w:szCs w:val="32"/>
              </w:rPr>
            </w:pPr>
            <w:r>
              <w:rPr>
                <w:b/>
                <w:bCs/>
                <w:sz w:val="24"/>
                <w:szCs w:val="32"/>
              </w:rPr>
              <w:lastRenderedPageBreak/>
              <w:t>IBM Micromedex</w:t>
            </w:r>
          </w:p>
        </w:tc>
        <w:tc>
          <w:tcPr>
            <w:tcW w:w="6735" w:type="dxa"/>
          </w:tcPr>
          <w:p w14:paraId="19706D65" w14:textId="72FDDD5E" w:rsidR="00B33D7A" w:rsidRPr="00F93C99" w:rsidRDefault="00B33D7A" w:rsidP="00633190">
            <w:pPr>
              <w:spacing w:after="120" w:line="240" w:lineRule="auto"/>
            </w:pPr>
            <w:r w:rsidRPr="00F93C99">
              <w:t>Martindale</w:t>
            </w:r>
            <w:r>
              <w:t xml:space="preserve"> is available (for an additional subscription) via Micromedex. However, the </w:t>
            </w:r>
            <w:r w:rsidRPr="00F93C99">
              <w:t xml:space="preserve">symbol denoting withdrawn brands does not appear </w:t>
            </w:r>
            <w:r>
              <w:t xml:space="preserve">in the Micromedex version. Therefore, </w:t>
            </w:r>
            <w:r w:rsidRPr="00F93C99">
              <w:t xml:space="preserve">access Martindale via Medicines Complete if available.  </w:t>
            </w:r>
          </w:p>
        </w:tc>
      </w:tr>
      <w:tr w:rsidR="00B33D7A" w:rsidRPr="00F93C99" w14:paraId="3FF868A0" w14:textId="77777777" w:rsidTr="00CE4B70">
        <w:tc>
          <w:tcPr>
            <w:tcW w:w="3227" w:type="dxa"/>
          </w:tcPr>
          <w:p w14:paraId="625F3A0B" w14:textId="77777777" w:rsidR="00B33D7A" w:rsidRPr="00F93C99" w:rsidRDefault="00B33D7A" w:rsidP="00B33D7A">
            <w:pPr>
              <w:spacing w:after="120" w:line="240" w:lineRule="auto"/>
              <w:rPr>
                <w:b/>
                <w:bCs/>
                <w:sz w:val="24"/>
                <w:szCs w:val="32"/>
              </w:rPr>
            </w:pPr>
            <w:proofErr w:type="spellStart"/>
            <w:r w:rsidRPr="00F93C99">
              <w:rPr>
                <w:b/>
                <w:bCs/>
                <w:sz w:val="24"/>
                <w:szCs w:val="32"/>
              </w:rPr>
              <w:t>iDAPS</w:t>
            </w:r>
            <w:proofErr w:type="spellEnd"/>
          </w:p>
        </w:tc>
        <w:tc>
          <w:tcPr>
            <w:tcW w:w="6735" w:type="dxa"/>
          </w:tcPr>
          <w:p w14:paraId="7A4295CE" w14:textId="77777777" w:rsidR="00B33D7A" w:rsidRPr="00567213" w:rsidRDefault="00B33D7A" w:rsidP="00B33D7A">
            <w:pPr>
              <w:spacing w:after="120" w:line="240" w:lineRule="auto"/>
              <w:rPr>
                <w:b/>
                <w:bCs/>
              </w:rPr>
            </w:pPr>
            <w:r>
              <w:rPr>
                <w:b/>
                <w:bCs/>
              </w:rPr>
              <w:t>Finding the correct Drug Analysis Print (DAP)</w:t>
            </w:r>
          </w:p>
          <w:p w14:paraId="6779E98F" w14:textId="29B09336" w:rsidR="00B33D7A" w:rsidRPr="00F93C99" w:rsidRDefault="00B33D7A" w:rsidP="00B33D7A">
            <w:pPr>
              <w:spacing w:after="120" w:line="240" w:lineRule="auto"/>
            </w:pPr>
            <w:r w:rsidRPr="00F93C99">
              <w:t xml:space="preserve">There is no facility to search the </w:t>
            </w:r>
            <w:proofErr w:type="spellStart"/>
            <w:r w:rsidRPr="00F93C99">
              <w:t>fulltext</w:t>
            </w:r>
            <w:proofErr w:type="spellEnd"/>
            <w:r w:rsidRPr="00F93C99">
              <w:t xml:space="preserve"> of all Drug Analysis Prints to identify the correct DAP. You will need to identify the title of the DAP you need, then browse the list for it. DAPs are generally indexed by approved name of the active drug. However, there are some idiosyncrasies which include (but may not be limited to):</w:t>
            </w:r>
          </w:p>
          <w:p w14:paraId="4B01F82D" w14:textId="77777777" w:rsidR="00B33D7A" w:rsidRPr="00F93C99" w:rsidRDefault="00B33D7A" w:rsidP="00B33D7A">
            <w:pPr>
              <w:pStyle w:val="ListParagraph"/>
              <w:numPr>
                <w:ilvl w:val="0"/>
                <w:numId w:val="23"/>
              </w:numPr>
              <w:spacing w:after="120" w:line="240" w:lineRule="auto"/>
            </w:pPr>
            <w:r w:rsidRPr="00F93C99">
              <w:t>Many (but not all) iron products are listed under IRON, not ‘ferric’ or ‘ferrous’.</w:t>
            </w:r>
          </w:p>
          <w:p w14:paraId="259ABF66" w14:textId="77777777" w:rsidR="00B33D7A" w:rsidRPr="00F93C99" w:rsidRDefault="00B33D7A" w:rsidP="00B33D7A">
            <w:pPr>
              <w:pStyle w:val="ListParagraph"/>
              <w:numPr>
                <w:ilvl w:val="0"/>
                <w:numId w:val="23"/>
              </w:numPr>
              <w:spacing w:after="120" w:line="240" w:lineRule="auto"/>
            </w:pPr>
            <w:r w:rsidRPr="00F93C99">
              <w:t>Botulinum toxin products are under CLOSTRIDIUM BOTULINUM.</w:t>
            </w:r>
          </w:p>
          <w:p w14:paraId="66024A5D" w14:textId="77777777" w:rsidR="00B33D7A" w:rsidRPr="00F93C99" w:rsidRDefault="00B33D7A" w:rsidP="00B33D7A">
            <w:pPr>
              <w:pStyle w:val="ListParagraph"/>
              <w:numPr>
                <w:ilvl w:val="0"/>
                <w:numId w:val="23"/>
              </w:numPr>
              <w:spacing w:after="120" w:line="240" w:lineRule="auto"/>
            </w:pPr>
            <w:r>
              <w:t>Herbal medicine constituents also have DAPs.</w:t>
            </w:r>
          </w:p>
          <w:p w14:paraId="00EBC5B4" w14:textId="77777777" w:rsidR="00B33D7A" w:rsidRDefault="00B33D7A" w:rsidP="00B33D7A">
            <w:pPr>
              <w:spacing w:after="120" w:line="240" w:lineRule="auto"/>
            </w:pPr>
            <w:r w:rsidRPr="00F93C99">
              <w:t>Therefore, if you cannot find a DAP, consider what other names it might be indexed under.</w:t>
            </w:r>
            <w:r>
              <w:t xml:space="preserve"> It may be helpful to consult the summary of product characteristics or patient information leaflet.</w:t>
            </w:r>
          </w:p>
          <w:p w14:paraId="406F22B1" w14:textId="4F002234" w:rsidR="00964798" w:rsidRDefault="00B33D7A" w:rsidP="00B33D7A">
            <w:pPr>
              <w:spacing w:after="120" w:line="240" w:lineRule="auto"/>
              <w:rPr>
                <w:b/>
                <w:bCs/>
              </w:rPr>
            </w:pPr>
            <w:r>
              <w:rPr>
                <w:b/>
                <w:bCs/>
              </w:rPr>
              <w:t>Finding adverse effects</w:t>
            </w:r>
          </w:p>
          <w:p w14:paraId="01BEEBE4" w14:textId="2F165953" w:rsidR="00964798" w:rsidRDefault="00744A38" w:rsidP="00744A38">
            <w:pPr>
              <w:pStyle w:val="ListParagraph"/>
              <w:numPr>
                <w:ilvl w:val="0"/>
                <w:numId w:val="23"/>
              </w:numPr>
              <w:spacing w:after="120" w:line="240" w:lineRule="auto"/>
            </w:pPr>
            <w:r w:rsidRPr="00AB440D">
              <w:t xml:space="preserve">To ‘expand all’, </w:t>
            </w:r>
            <w:r w:rsidR="004C7F8E" w:rsidRPr="00AB440D">
              <w:t xml:space="preserve">right-click on the first line of the table of </w:t>
            </w:r>
            <w:r w:rsidR="00AB440D" w:rsidRPr="00AB440D">
              <w:t>reactions (e.g. ‘Blood and lymphatic system disorders total’).</w:t>
            </w:r>
          </w:p>
          <w:p w14:paraId="73D3DE9F" w14:textId="77777777" w:rsidR="00285598" w:rsidRPr="00566528" w:rsidRDefault="00332D9E" w:rsidP="009957EB">
            <w:pPr>
              <w:pStyle w:val="ListParagraph"/>
              <w:numPr>
                <w:ilvl w:val="0"/>
                <w:numId w:val="23"/>
              </w:numPr>
              <w:spacing w:after="120" w:line="240" w:lineRule="auto"/>
              <w:rPr>
                <w:b/>
                <w:bCs/>
                <w:color w:val="FF0000"/>
              </w:rPr>
            </w:pPr>
            <w:r w:rsidRPr="00566528">
              <w:rPr>
                <w:b/>
                <w:bCs/>
                <w:color w:val="FF0000"/>
              </w:rPr>
              <w:t xml:space="preserve">The </w:t>
            </w:r>
            <w:proofErr w:type="spellStart"/>
            <w:r w:rsidRPr="00566528">
              <w:rPr>
                <w:b/>
                <w:bCs/>
                <w:color w:val="FF0000"/>
              </w:rPr>
              <w:t>iDAPS</w:t>
            </w:r>
            <w:proofErr w:type="spellEnd"/>
            <w:r w:rsidRPr="00566528">
              <w:rPr>
                <w:b/>
                <w:bCs/>
                <w:color w:val="FF0000"/>
              </w:rPr>
              <w:t xml:space="preserve"> is effectively NOT SEARCHABLE.</w:t>
            </w:r>
          </w:p>
          <w:p w14:paraId="5AC15D2C" w14:textId="7F90DF4F" w:rsidR="00762B1A" w:rsidRDefault="00332D9E" w:rsidP="009957EB">
            <w:pPr>
              <w:pStyle w:val="ListParagraph"/>
              <w:numPr>
                <w:ilvl w:val="0"/>
                <w:numId w:val="23"/>
              </w:numPr>
              <w:spacing w:after="120" w:line="240" w:lineRule="auto"/>
              <w:rPr>
                <w:color w:val="FF0000"/>
              </w:rPr>
            </w:pPr>
            <w:r w:rsidRPr="00A365DB">
              <w:rPr>
                <w:color w:val="FF0000"/>
              </w:rPr>
              <w:t xml:space="preserve"> </w:t>
            </w:r>
            <w:r w:rsidR="00AB440D" w:rsidRPr="00A365DB">
              <w:rPr>
                <w:color w:val="FF0000"/>
              </w:rPr>
              <w:t>‘</w:t>
            </w:r>
            <w:proofErr w:type="spellStart"/>
            <w:r w:rsidR="00AB440D" w:rsidRPr="00A365DB">
              <w:rPr>
                <w:color w:val="FF0000"/>
              </w:rPr>
              <w:t>Ctrl+F</w:t>
            </w:r>
            <w:proofErr w:type="spellEnd"/>
            <w:r w:rsidR="00AB440D" w:rsidRPr="00A365DB">
              <w:rPr>
                <w:color w:val="FF0000"/>
              </w:rPr>
              <w:t xml:space="preserve">’ to find reactions quickly DOES NOT WORK. </w:t>
            </w:r>
            <w:r w:rsidR="008B13A7" w:rsidRPr="00A365DB">
              <w:rPr>
                <w:color w:val="FF0000"/>
              </w:rPr>
              <w:t xml:space="preserve">It will only find relevant reactions that are physically visible on your screen at that moment, not relevant reactions further </w:t>
            </w:r>
            <w:r w:rsidR="001D4967">
              <w:rPr>
                <w:color w:val="FF0000"/>
              </w:rPr>
              <w:t xml:space="preserve">up or </w:t>
            </w:r>
            <w:r w:rsidR="008B13A7" w:rsidRPr="00A365DB">
              <w:rPr>
                <w:color w:val="FF0000"/>
              </w:rPr>
              <w:t>down the expanded table.</w:t>
            </w:r>
            <w:r w:rsidR="00746D17" w:rsidRPr="00A365DB">
              <w:rPr>
                <w:color w:val="FF0000"/>
              </w:rPr>
              <w:t xml:space="preserve"> </w:t>
            </w:r>
            <w:r w:rsidR="00762B1A" w:rsidRPr="00A365DB">
              <w:rPr>
                <w:color w:val="FF0000"/>
              </w:rPr>
              <w:t xml:space="preserve">The only way to find a reaction is to look for it by eye. </w:t>
            </w:r>
          </w:p>
          <w:p w14:paraId="68BCFD2C" w14:textId="007A02C8" w:rsidR="00285598" w:rsidRPr="00285598" w:rsidRDefault="003A667E" w:rsidP="00285598">
            <w:pPr>
              <w:pStyle w:val="ListParagraph"/>
              <w:numPr>
                <w:ilvl w:val="0"/>
                <w:numId w:val="28"/>
              </w:numPr>
              <w:spacing w:after="120" w:line="240" w:lineRule="auto"/>
              <w:ind w:left="714" w:hanging="357"/>
              <w:contextualSpacing w:val="0"/>
              <w:rPr>
                <w:color w:val="FF0000"/>
              </w:rPr>
            </w:pPr>
            <w:r>
              <w:rPr>
                <w:color w:val="FF0000"/>
              </w:rPr>
              <w:t>Checking all sections is important</w:t>
            </w:r>
            <w:r w:rsidR="00285598" w:rsidRPr="00285598">
              <w:rPr>
                <w:color w:val="FF0000"/>
              </w:rPr>
              <w:t>, as the term you are looking for may appear under more than one heading e.g. ulcer</w:t>
            </w:r>
            <w:r w:rsidR="00987410">
              <w:rPr>
                <w:color w:val="FF0000"/>
              </w:rPr>
              <w:t xml:space="preserve">. </w:t>
            </w:r>
            <w:r w:rsidR="00285598" w:rsidRPr="00285598">
              <w:rPr>
                <w:color w:val="FF0000"/>
              </w:rPr>
              <w:t xml:space="preserve">Note that some terms are not where you might expect them to be: for instance, </w:t>
            </w:r>
            <w:r w:rsidR="00285598" w:rsidRPr="00285598">
              <w:rPr>
                <w:i/>
                <w:iCs/>
                <w:color w:val="FF0000"/>
              </w:rPr>
              <w:t xml:space="preserve">pruritus </w:t>
            </w:r>
            <w:r w:rsidR="00285598" w:rsidRPr="00285598">
              <w:rPr>
                <w:color w:val="FF0000"/>
              </w:rPr>
              <w:t xml:space="preserve">is under Skin, but </w:t>
            </w:r>
            <w:r w:rsidR="00285598" w:rsidRPr="00285598">
              <w:rPr>
                <w:i/>
                <w:iCs/>
                <w:color w:val="FF0000"/>
              </w:rPr>
              <w:t xml:space="preserve">anal pruritus </w:t>
            </w:r>
            <w:r w:rsidR="00285598" w:rsidRPr="00285598">
              <w:rPr>
                <w:color w:val="FF0000"/>
              </w:rPr>
              <w:t>is under Gastrointestinal.</w:t>
            </w:r>
          </w:p>
          <w:p w14:paraId="700C3DCA" w14:textId="48570FA6" w:rsidR="00B33D7A" w:rsidRPr="00567213" w:rsidRDefault="00964798" w:rsidP="00B33D7A">
            <w:pPr>
              <w:spacing w:after="120" w:line="240" w:lineRule="auto"/>
              <w:rPr>
                <w:b/>
                <w:bCs/>
              </w:rPr>
            </w:pPr>
            <w:r>
              <w:rPr>
                <w:b/>
                <w:bCs/>
              </w:rPr>
              <w:t>A</w:t>
            </w:r>
            <w:r w:rsidR="00B33D7A">
              <w:rPr>
                <w:b/>
                <w:bCs/>
              </w:rPr>
              <w:t>dverse effect terminology</w:t>
            </w:r>
          </w:p>
          <w:p w14:paraId="20AB5F74" w14:textId="77777777" w:rsidR="00B33D7A" w:rsidRDefault="00B33D7A" w:rsidP="00B33D7A">
            <w:pPr>
              <w:pStyle w:val="ListParagraph"/>
              <w:numPr>
                <w:ilvl w:val="0"/>
                <w:numId w:val="28"/>
              </w:numPr>
              <w:spacing w:after="120" w:line="240" w:lineRule="auto"/>
              <w:ind w:left="714" w:hanging="357"/>
              <w:contextualSpacing w:val="0"/>
            </w:pPr>
            <w:proofErr w:type="spellStart"/>
            <w:r>
              <w:t>iDAPs</w:t>
            </w:r>
            <w:proofErr w:type="spellEnd"/>
            <w:r>
              <w:t xml:space="preserve"> uses MedDRA (</w:t>
            </w:r>
            <w:proofErr w:type="spellStart"/>
            <w:r>
              <w:t>MEDical</w:t>
            </w:r>
            <w:proofErr w:type="spellEnd"/>
            <w:r>
              <w:t xml:space="preserve"> Dictionary for Regulatory Activities)  terminology for side effects (e.g. dysgeusia or ageusia rather than ‘taste disturbance’). The hierarchy and all terms can be browsed at </w:t>
            </w:r>
            <w:hyperlink r:id="rId17" w:history="1">
              <w:r w:rsidRPr="00147583">
                <w:rPr>
                  <w:rStyle w:val="Hyperlink"/>
                </w:rPr>
                <w:t>www.meddra.org</w:t>
              </w:r>
            </w:hyperlink>
            <w:r>
              <w:t xml:space="preserve"> (subscription required) or </w:t>
            </w:r>
            <w:hyperlink r:id="rId18" w:history="1">
              <w:r w:rsidRPr="00147583">
                <w:rPr>
                  <w:rStyle w:val="Hyperlink"/>
                </w:rPr>
                <w:t>http://bioportal.bioontology.org/ontologies/MEDDRA/?p=summary</w:t>
              </w:r>
            </w:hyperlink>
            <w:r>
              <w:t xml:space="preserve"> (free)</w:t>
            </w:r>
          </w:p>
          <w:p w14:paraId="6979A7E6" w14:textId="77777777" w:rsidR="00B33D7A" w:rsidRDefault="00B33D7A" w:rsidP="00B33D7A">
            <w:pPr>
              <w:pStyle w:val="ListParagraph"/>
              <w:numPr>
                <w:ilvl w:val="0"/>
                <w:numId w:val="28"/>
              </w:numPr>
              <w:spacing w:after="120" w:line="240" w:lineRule="auto"/>
              <w:ind w:left="714" w:hanging="357"/>
              <w:contextualSpacing w:val="0"/>
            </w:pPr>
            <w:r>
              <w:t>Martindale, Martindale’s ADR checker or a medical dictionary may also help to identify possible MedDRA terms.</w:t>
            </w:r>
          </w:p>
          <w:p w14:paraId="0F4B14DA" w14:textId="7B2182EB" w:rsidR="00E86076" w:rsidRPr="00E86076" w:rsidRDefault="00E86076" w:rsidP="00E86076">
            <w:pPr>
              <w:spacing w:after="120" w:line="240" w:lineRule="auto"/>
              <w:rPr>
                <w:b/>
                <w:bCs/>
              </w:rPr>
            </w:pPr>
            <w:r w:rsidRPr="00E86076">
              <w:rPr>
                <w:b/>
                <w:bCs/>
              </w:rPr>
              <w:t>Other</w:t>
            </w:r>
          </w:p>
          <w:p w14:paraId="0DA0D490" w14:textId="390D6CE2" w:rsidR="00E86076" w:rsidRDefault="00E86076" w:rsidP="00E86076">
            <w:pPr>
              <w:pStyle w:val="ListParagraph"/>
              <w:numPr>
                <w:ilvl w:val="0"/>
                <w:numId w:val="28"/>
              </w:numPr>
              <w:spacing w:after="120" w:line="240" w:lineRule="auto"/>
            </w:pPr>
            <w:r>
              <w:t>The ‘printer friendly’ view will not display an expanded table.</w:t>
            </w:r>
          </w:p>
          <w:p w14:paraId="7B2B1CAF" w14:textId="37C76813" w:rsidR="00847862" w:rsidRPr="00F93C99" w:rsidRDefault="00062EA1" w:rsidP="00847862">
            <w:pPr>
              <w:pStyle w:val="ListParagraph"/>
              <w:numPr>
                <w:ilvl w:val="0"/>
                <w:numId w:val="28"/>
              </w:numPr>
              <w:spacing w:after="120" w:line="240" w:lineRule="auto"/>
            </w:pPr>
            <w:r>
              <w:t>It does not appear to be possible to copy-and-paste the full table into a Word document.</w:t>
            </w:r>
          </w:p>
        </w:tc>
      </w:tr>
      <w:tr w:rsidR="00B33D7A" w:rsidRPr="00F93C99" w14:paraId="482A0215" w14:textId="77777777" w:rsidTr="00CE4B70">
        <w:tc>
          <w:tcPr>
            <w:tcW w:w="3227" w:type="dxa"/>
          </w:tcPr>
          <w:p w14:paraId="37D29020" w14:textId="77777777" w:rsidR="00B33D7A" w:rsidRPr="00F93C99" w:rsidRDefault="00B33D7A" w:rsidP="00B33D7A">
            <w:pPr>
              <w:spacing w:after="120" w:line="240" w:lineRule="auto"/>
              <w:rPr>
                <w:b/>
                <w:bCs/>
                <w:sz w:val="24"/>
                <w:szCs w:val="32"/>
              </w:rPr>
            </w:pPr>
            <w:r w:rsidRPr="00F93C99">
              <w:rPr>
                <w:b/>
                <w:bCs/>
                <w:sz w:val="24"/>
                <w:szCs w:val="32"/>
              </w:rPr>
              <w:t>Indiana University – cytochrome P450 drug interactions (Flockhart)</w:t>
            </w:r>
          </w:p>
        </w:tc>
        <w:tc>
          <w:tcPr>
            <w:tcW w:w="6735" w:type="dxa"/>
          </w:tcPr>
          <w:p w14:paraId="23EFF8D6" w14:textId="77777777" w:rsidR="00B33D7A" w:rsidRPr="00F93C99" w:rsidRDefault="00B33D7A" w:rsidP="00B33D7A">
            <w:pPr>
              <w:spacing w:after="120" w:line="240" w:lineRule="auto"/>
            </w:pPr>
            <w:r w:rsidRPr="00F93C99">
              <w:t>This list of drugs (substrates, inducers and inhibitors) categorised by specific cytochrome P450 isoforms is updated intermittently and so there is a risk of missing information. Use this resource in conjunction with others.</w:t>
            </w:r>
          </w:p>
        </w:tc>
      </w:tr>
    </w:tbl>
    <w:p w14:paraId="380FE307" w14:textId="77777777" w:rsidR="00FB389F" w:rsidRDefault="00FB389F"/>
    <w:tbl>
      <w:tblPr>
        <w:tblStyle w:val="TableGrid"/>
        <w:tblW w:w="0" w:type="auto"/>
        <w:tblLayout w:type="fixed"/>
        <w:tblLook w:val="04A0" w:firstRow="1" w:lastRow="0" w:firstColumn="1" w:lastColumn="0" w:noHBand="0" w:noVBand="1"/>
      </w:tblPr>
      <w:tblGrid>
        <w:gridCol w:w="3227"/>
        <w:gridCol w:w="6735"/>
      </w:tblGrid>
      <w:tr w:rsidR="00C21CE2" w:rsidRPr="00F93C99" w14:paraId="5C8046EC" w14:textId="77777777" w:rsidTr="00CE4B70">
        <w:tc>
          <w:tcPr>
            <w:tcW w:w="3227" w:type="dxa"/>
          </w:tcPr>
          <w:p w14:paraId="72F33028" w14:textId="7A0B7990" w:rsidR="00C21CE2" w:rsidRPr="00F93C99" w:rsidRDefault="00C21CE2" w:rsidP="00B33D7A">
            <w:pPr>
              <w:spacing w:after="120" w:line="240" w:lineRule="auto"/>
              <w:rPr>
                <w:b/>
                <w:bCs/>
                <w:sz w:val="24"/>
                <w:szCs w:val="32"/>
              </w:rPr>
            </w:pPr>
            <w:r>
              <w:rPr>
                <w:b/>
                <w:bCs/>
                <w:sz w:val="24"/>
                <w:szCs w:val="32"/>
              </w:rPr>
              <w:lastRenderedPageBreak/>
              <w:t>Martindale ADR Checker</w:t>
            </w:r>
          </w:p>
        </w:tc>
        <w:tc>
          <w:tcPr>
            <w:tcW w:w="6735" w:type="dxa"/>
          </w:tcPr>
          <w:p w14:paraId="12012FA2" w14:textId="14DCF8B7" w:rsidR="00C21CE2" w:rsidRDefault="00171FA9" w:rsidP="00B33D7A">
            <w:pPr>
              <w:pStyle w:val="ListParagraph"/>
              <w:numPr>
                <w:ilvl w:val="0"/>
                <w:numId w:val="26"/>
              </w:numPr>
              <w:spacing w:after="120" w:line="240" w:lineRule="auto"/>
              <w:contextualSpacing w:val="0"/>
            </w:pPr>
            <w:r>
              <w:t xml:space="preserve">This does not provide </w:t>
            </w:r>
            <w:r w:rsidR="00403504">
              <w:t>additional information</w:t>
            </w:r>
            <w:r w:rsidR="003556C3">
              <w:t xml:space="preserve"> </w:t>
            </w:r>
            <w:r w:rsidR="00403504">
              <w:t>beyond</w:t>
            </w:r>
            <w:r w:rsidR="003556C3">
              <w:t xml:space="preserve"> what is available in </w:t>
            </w:r>
            <w:r w:rsidR="003556C3">
              <w:rPr>
                <w:i/>
                <w:iCs/>
              </w:rPr>
              <w:t>Martindale</w:t>
            </w:r>
            <w:r w:rsidR="003556C3">
              <w:t>.</w:t>
            </w:r>
          </w:p>
          <w:p w14:paraId="768B63CB" w14:textId="39A1CB6C" w:rsidR="00C40760" w:rsidRPr="00F93C99" w:rsidRDefault="00403504" w:rsidP="006176BC">
            <w:pPr>
              <w:pStyle w:val="ListParagraph"/>
              <w:numPr>
                <w:ilvl w:val="0"/>
                <w:numId w:val="26"/>
              </w:numPr>
              <w:spacing w:after="120" w:line="240" w:lineRule="auto"/>
              <w:contextualSpacing w:val="0"/>
            </w:pPr>
            <w:r>
              <w:t>To</w:t>
            </w:r>
            <w:r w:rsidR="003556C3">
              <w:t xml:space="preserve"> get a search result, it is necessary to choose exactly the right descriptor used</w:t>
            </w:r>
            <w:r w:rsidR="00F91424">
              <w:t>; similar terms are not linked. Therefore, if a ‘hit’ is for ‘liver function test abnormal’, searching ‘</w:t>
            </w:r>
            <w:r>
              <w:t>liver injury’ or ‘liver’ does not work.</w:t>
            </w:r>
            <w:r w:rsidR="006176BC">
              <w:t xml:space="preserve"> </w:t>
            </w:r>
            <w:r w:rsidR="00C40760">
              <w:t xml:space="preserve">This has been highlighted to </w:t>
            </w:r>
            <w:r w:rsidR="00C40760">
              <w:rPr>
                <w:i/>
                <w:iCs/>
              </w:rPr>
              <w:t>Pharmaceutical Press.</w:t>
            </w:r>
          </w:p>
        </w:tc>
      </w:tr>
      <w:tr w:rsidR="00B33D7A" w:rsidRPr="00F93C99" w14:paraId="22A15AF7" w14:textId="77777777" w:rsidTr="00CE4B70">
        <w:tc>
          <w:tcPr>
            <w:tcW w:w="3227" w:type="dxa"/>
          </w:tcPr>
          <w:p w14:paraId="0E9EBF64" w14:textId="77777777" w:rsidR="00B33D7A" w:rsidRPr="00F93C99" w:rsidRDefault="00B33D7A" w:rsidP="00B33D7A">
            <w:pPr>
              <w:spacing w:after="120" w:line="240" w:lineRule="auto"/>
              <w:rPr>
                <w:b/>
                <w:bCs/>
                <w:sz w:val="24"/>
                <w:szCs w:val="32"/>
              </w:rPr>
            </w:pPr>
            <w:r w:rsidRPr="00F93C99">
              <w:rPr>
                <w:b/>
                <w:bCs/>
                <w:sz w:val="24"/>
                <w:szCs w:val="32"/>
              </w:rPr>
              <w:t>Medications in Mothers’ Milk (Hale)</w:t>
            </w:r>
          </w:p>
        </w:tc>
        <w:tc>
          <w:tcPr>
            <w:tcW w:w="6735" w:type="dxa"/>
          </w:tcPr>
          <w:p w14:paraId="7B21180C" w14:textId="1F246B28" w:rsidR="00B33D7A" w:rsidRPr="00F93C99" w:rsidRDefault="00B33D7A" w:rsidP="00B33D7A">
            <w:pPr>
              <w:pStyle w:val="ListParagraph"/>
              <w:numPr>
                <w:ilvl w:val="0"/>
                <w:numId w:val="26"/>
              </w:numPr>
              <w:spacing w:after="120" w:line="240" w:lineRule="auto"/>
              <w:contextualSpacing w:val="0"/>
            </w:pPr>
            <w:r w:rsidRPr="00F93C99">
              <w:t xml:space="preserve">Some monographs are based on more complete literature searches than others. Be careful about relying upon </w:t>
            </w:r>
            <w:r w:rsidR="007905E0">
              <w:t xml:space="preserve">it </w:t>
            </w:r>
            <w:r w:rsidRPr="00F93C99">
              <w:t>as a sole source.</w:t>
            </w:r>
          </w:p>
          <w:p w14:paraId="3FA47175" w14:textId="6C7FFA2B" w:rsidR="00B33D7A" w:rsidRPr="00F93C99" w:rsidRDefault="00B33D7A" w:rsidP="00B33D7A">
            <w:pPr>
              <w:pStyle w:val="ListParagraph"/>
              <w:numPr>
                <w:ilvl w:val="0"/>
                <w:numId w:val="26"/>
              </w:numPr>
              <w:spacing w:after="120" w:line="240" w:lineRule="auto"/>
              <w:contextualSpacing w:val="0"/>
            </w:pPr>
            <w:r w:rsidRPr="00F93C99">
              <w:t xml:space="preserve">An online subscription to Hale is preferable, since this is updated </w:t>
            </w:r>
            <w:r w:rsidR="00DF25E3">
              <w:t>monthly</w:t>
            </w:r>
            <w:r w:rsidRPr="00F93C99">
              <w:t xml:space="preserve"> between published editions.</w:t>
            </w:r>
          </w:p>
        </w:tc>
      </w:tr>
      <w:tr w:rsidR="00B33D7A" w:rsidRPr="00F93C99" w14:paraId="2607C92D" w14:textId="77777777" w:rsidTr="00CE4B70">
        <w:tc>
          <w:tcPr>
            <w:tcW w:w="3227" w:type="dxa"/>
          </w:tcPr>
          <w:p w14:paraId="232B77D2" w14:textId="77777777" w:rsidR="00B33D7A" w:rsidRPr="00F93C99" w:rsidRDefault="00B33D7A" w:rsidP="00B33D7A">
            <w:pPr>
              <w:spacing w:after="120" w:line="240" w:lineRule="auto"/>
              <w:rPr>
                <w:b/>
                <w:bCs/>
                <w:sz w:val="24"/>
                <w:szCs w:val="32"/>
              </w:rPr>
            </w:pPr>
            <w:r w:rsidRPr="00F93C99">
              <w:rPr>
                <w:b/>
                <w:bCs/>
                <w:sz w:val="24"/>
                <w:szCs w:val="32"/>
              </w:rPr>
              <w:t>Natural Medicines Comprehensive Database</w:t>
            </w:r>
          </w:p>
        </w:tc>
        <w:tc>
          <w:tcPr>
            <w:tcW w:w="6735" w:type="dxa"/>
          </w:tcPr>
          <w:p w14:paraId="55A06EB5" w14:textId="77777777" w:rsidR="00B33D7A" w:rsidRPr="00F93C99" w:rsidRDefault="00B33D7A" w:rsidP="00B33D7A">
            <w:pPr>
              <w:pStyle w:val="ListParagraph"/>
              <w:numPr>
                <w:ilvl w:val="0"/>
                <w:numId w:val="26"/>
              </w:numPr>
              <w:spacing w:after="120" w:line="240" w:lineRule="auto"/>
              <w:ind w:left="714" w:hanging="357"/>
              <w:contextualSpacing w:val="0"/>
            </w:pPr>
            <w:r w:rsidRPr="00F93C99">
              <w:t xml:space="preserve">Some natural medicines have very similar or identical names but contain different ingredients. Check names carefully. </w:t>
            </w:r>
          </w:p>
          <w:p w14:paraId="06C3F12C" w14:textId="532FB32C" w:rsidR="00B33D7A" w:rsidRPr="00F93C99" w:rsidRDefault="003C6880" w:rsidP="00877F87">
            <w:pPr>
              <w:pStyle w:val="ListParagraph"/>
              <w:numPr>
                <w:ilvl w:val="0"/>
                <w:numId w:val="26"/>
              </w:numPr>
              <w:spacing w:after="120" w:line="240" w:lineRule="auto"/>
              <w:contextualSpacing w:val="0"/>
            </w:pPr>
            <w:r>
              <w:t>Do not use</w:t>
            </w:r>
            <w:r w:rsidR="00B33D7A" w:rsidRPr="00F93C99">
              <w:t xml:space="preserve"> the ‘interaction checker’ in isolation</w:t>
            </w:r>
            <w:r w:rsidR="007905E0">
              <w:t>,</w:t>
            </w:r>
            <w:r w:rsidR="00B33D7A" w:rsidRPr="00F93C99">
              <w:t xml:space="preserve"> as this might miss pharmacodynamic interactions as well as drug/ disease interactions. It may also miss class-level interactions. It is therefore preferable to check each monograph individually, rather than using the interactions checker.</w:t>
            </w:r>
          </w:p>
        </w:tc>
      </w:tr>
      <w:tr w:rsidR="00B33D7A" w:rsidRPr="00F93C99" w14:paraId="2B3BEC43" w14:textId="77777777" w:rsidTr="00CE4B70">
        <w:tc>
          <w:tcPr>
            <w:tcW w:w="3227" w:type="dxa"/>
          </w:tcPr>
          <w:p w14:paraId="13BD92ED" w14:textId="77777777" w:rsidR="00B33D7A" w:rsidRPr="00F93C99" w:rsidRDefault="00B33D7A" w:rsidP="00B33D7A">
            <w:pPr>
              <w:spacing w:after="120" w:line="240" w:lineRule="auto"/>
              <w:rPr>
                <w:b/>
                <w:bCs/>
                <w:sz w:val="24"/>
                <w:szCs w:val="32"/>
              </w:rPr>
            </w:pPr>
            <w:r w:rsidRPr="00F93C99">
              <w:rPr>
                <w:b/>
                <w:bCs/>
                <w:sz w:val="24"/>
                <w:szCs w:val="32"/>
              </w:rPr>
              <w:t>NEWT Guidelines</w:t>
            </w:r>
          </w:p>
        </w:tc>
        <w:tc>
          <w:tcPr>
            <w:tcW w:w="6735" w:type="dxa"/>
          </w:tcPr>
          <w:p w14:paraId="6ABA3DD3" w14:textId="77777777" w:rsidR="00B33D7A" w:rsidRPr="00F93C99" w:rsidRDefault="00B33D7A" w:rsidP="00B33D7A">
            <w:pPr>
              <w:pStyle w:val="ListParagraph"/>
              <w:numPr>
                <w:ilvl w:val="0"/>
                <w:numId w:val="22"/>
              </w:numPr>
              <w:spacing w:after="120" w:line="240" w:lineRule="auto"/>
              <w:ind w:left="714" w:hanging="357"/>
              <w:contextualSpacing w:val="0"/>
            </w:pPr>
            <w:r w:rsidRPr="00F93C99">
              <w:t>Information included is mainly anecdotal and is based on practical experience and some laboratory work.</w:t>
            </w:r>
          </w:p>
          <w:p w14:paraId="05E2BC8B" w14:textId="77777777" w:rsidR="00B33D7A" w:rsidRPr="00F93C99" w:rsidRDefault="00B33D7A" w:rsidP="00B33D7A">
            <w:pPr>
              <w:pStyle w:val="ListParagraph"/>
              <w:numPr>
                <w:ilvl w:val="0"/>
                <w:numId w:val="22"/>
              </w:numPr>
              <w:spacing w:after="120" w:line="240" w:lineRule="auto"/>
              <w:ind w:left="714" w:hanging="357"/>
              <w:contextualSpacing w:val="0"/>
            </w:pPr>
            <w:r w:rsidRPr="00F93C99">
              <w:t xml:space="preserve">Even when the date of update for the monograph itself is recent, some of the references may be quite old and should be checked for appropriateness. </w:t>
            </w:r>
          </w:p>
          <w:p w14:paraId="6667E1C2" w14:textId="554DB3E2" w:rsidR="00B33D7A" w:rsidRPr="00F93C99" w:rsidRDefault="00B33D7A" w:rsidP="00B33D7A">
            <w:pPr>
              <w:pStyle w:val="ListParagraph"/>
              <w:numPr>
                <w:ilvl w:val="0"/>
                <w:numId w:val="22"/>
              </w:numPr>
              <w:spacing w:after="120" w:line="240" w:lineRule="auto"/>
              <w:ind w:left="714" w:hanging="357"/>
              <w:contextualSpacing w:val="0"/>
            </w:pPr>
            <w:r w:rsidRPr="00F93C99">
              <w:t>The information is not written for, and may not be applicable to</w:t>
            </w:r>
            <w:r w:rsidR="00C124D9">
              <w:t>,</w:t>
            </w:r>
            <w:r w:rsidRPr="00F93C99">
              <w:t xml:space="preserve"> use in children, specifically excipients and volume of fluid for administration. </w:t>
            </w:r>
          </w:p>
          <w:p w14:paraId="3A4CB155" w14:textId="77777777" w:rsidR="00B33D7A" w:rsidRPr="00F93C99" w:rsidRDefault="00B33D7A" w:rsidP="00B33D7A">
            <w:pPr>
              <w:pStyle w:val="ListParagraph"/>
              <w:numPr>
                <w:ilvl w:val="0"/>
                <w:numId w:val="22"/>
              </w:numPr>
              <w:spacing w:after="120" w:line="240" w:lineRule="auto"/>
              <w:ind w:left="714" w:hanging="357"/>
              <w:contextualSpacing w:val="0"/>
            </w:pPr>
            <w:r w:rsidRPr="00F93C99">
              <w:t>Many of the suggested administration routes will involve an off-label use of the product.</w:t>
            </w:r>
          </w:p>
        </w:tc>
      </w:tr>
      <w:tr w:rsidR="00B33D7A" w:rsidRPr="00F93C99" w14:paraId="0F137ED4" w14:textId="77777777" w:rsidTr="00CE4B70">
        <w:tc>
          <w:tcPr>
            <w:tcW w:w="3227" w:type="dxa"/>
          </w:tcPr>
          <w:p w14:paraId="5C5AD3B7" w14:textId="77777777" w:rsidR="00B33D7A" w:rsidRPr="00F93C99" w:rsidRDefault="00B33D7A" w:rsidP="00B33D7A">
            <w:pPr>
              <w:spacing w:after="120" w:line="240" w:lineRule="auto"/>
              <w:rPr>
                <w:b/>
                <w:bCs/>
                <w:sz w:val="24"/>
                <w:szCs w:val="32"/>
              </w:rPr>
            </w:pPr>
            <w:r w:rsidRPr="00F93C99">
              <w:rPr>
                <w:b/>
                <w:bCs/>
                <w:sz w:val="24"/>
                <w:szCs w:val="32"/>
              </w:rPr>
              <w:t>Renal Drug Handbook/ Database</w:t>
            </w:r>
          </w:p>
        </w:tc>
        <w:tc>
          <w:tcPr>
            <w:tcW w:w="6735" w:type="dxa"/>
          </w:tcPr>
          <w:p w14:paraId="2378FC02" w14:textId="77777777" w:rsidR="00B33D7A" w:rsidRPr="00F93C99" w:rsidRDefault="00B33D7A" w:rsidP="00B33D7A">
            <w:pPr>
              <w:spacing w:after="120" w:line="240" w:lineRule="auto"/>
            </w:pPr>
            <w:r w:rsidRPr="00F93C99">
              <w:t>Despite some references to published data, some dose recommendations are based upon specialist experience/practice.</w:t>
            </w:r>
          </w:p>
          <w:p w14:paraId="73689B1C" w14:textId="637A9992" w:rsidR="00B33D7A" w:rsidRPr="00F93C99" w:rsidRDefault="00B33D7A" w:rsidP="00B33D7A">
            <w:pPr>
              <w:spacing w:after="120" w:line="240" w:lineRule="auto"/>
            </w:pPr>
            <w:r w:rsidRPr="00F93C99">
              <w:t>As the doses given may therefore differ from the licensed doses, it is particularly important to check the S</w:t>
            </w:r>
            <w:r w:rsidR="00167C30">
              <w:t>m</w:t>
            </w:r>
            <w:r w:rsidRPr="00F93C99">
              <w:t>PC as well.</w:t>
            </w:r>
            <w:r>
              <w:t xml:space="preserve"> Which dose you choose to use/recommend will depend on your own clinical judgement of what is most appropriate in the circumstances of your enquiry.</w:t>
            </w:r>
          </w:p>
        </w:tc>
      </w:tr>
      <w:tr w:rsidR="00B33D7A" w:rsidRPr="00F93C99" w14:paraId="5DB92F94" w14:textId="77777777" w:rsidTr="00CE4B70">
        <w:tc>
          <w:tcPr>
            <w:tcW w:w="3227" w:type="dxa"/>
          </w:tcPr>
          <w:p w14:paraId="79F55604" w14:textId="77777777" w:rsidR="00B33D7A" w:rsidRPr="00F93C99" w:rsidRDefault="00B33D7A" w:rsidP="00B33D7A">
            <w:pPr>
              <w:spacing w:after="120" w:line="240" w:lineRule="auto"/>
              <w:rPr>
                <w:b/>
                <w:bCs/>
                <w:sz w:val="24"/>
                <w:szCs w:val="32"/>
              </w:rPr>
            </w:pPr>
            <w:r w:rsidRPr="00F93C99">
              <w:rPr>
                <w:b/>
                <w:bCs/>
                <w:sz w:val="24"/>
                <w:szCs w:val="32"/>
              </w:rPr>
              <w:t>SPS Website</w:t>
            </w:r>
          </w:p>
        </w:tc>
        <w:tc>
          <w:tcPr>
            <w:tcW w:w="6735" w:type="dxa"/>
          </w:tcPr>
          <w:p w14:paraId="3555CF61" w14:textId="5925B736" w:rsidR="00B33D7A" w:rsidRDefault="00B33D7A" w:rsidP="00DF29EF">
            <w:pPr>
              <w:spacing w:after="120" w:line="240" w:lineRule="auto"/>
            </w:pPr>
            <w:r w:rsidRPr="00F93C99">
              <w:t xml:space="preserve">Whilst most of the content is freely accessible, you will need to register and be logged in to access </w:t>
            </w:r>
            <w:r w:rsidR="00693128">
              <w:t>some information</w:t>
            </w:r>
            <w:r w:rsidRPr="00693128">
              <w:t xml:space="preserve">. </w:t>
            </w:r>
          </w:p>
          <w:p w14:paraId="2F52C1EB" w14:textId="77777777" w:rsidR="001B0349" w:rsidRDefault="001B0349" w:rsidP="00DF29EF">
            <w:pPr>
              <w:spacing w:after="120" w:line="240" w:lineRule="auto"/>
            </w:pPr>
            <w:r>
              <w:t>Most information is not referenced. Consider how reliable it is, and whether you should confirm with another (referenced) source.</w:t>
            </w:r>
          </w:p>
          <w:p w14:paraId="463E43BB" w14:textId="59E5C581" w:rsidR="001B0349" w:rsidRPr="00F93C99" w:rsidRDefault="001B0349" w:rsidP="00DF29EF">
            <w:pPr>
              <w:spacing w:after="120" w:line="240" w:lineRule="auto"/>
            </w:pPr>
            <w:r>
              <w:t>Request referenced information if you need it</w:t>
            </w:r>
            <w:r w:rsidR="000827C7">
              <w:t xml:space="preserve">, via: </w:t>
            </w:r>
            <w:hyperlink r:id="rId19" w:history="1">
              <w:r w:rsidR="00635278" w:rsidRPr="009C394A">
                <w:rPr>
                  <w:rStyle w:val="Hyperlink"/>
                </w:rPr>
                <w:t>asksps.nhs@sps.direct</w:t>
              </w:r>
            </w:hyperlink>
            <w:r w:rsidR="00635278">
              <w:t xml:space="preserve">  </w:t>
            </w:r>
          </w:p>
        </w:tc>
      </w:tr>
      <w:tr w:rsidR="00B33D7A" w:rsidRPr="00F93C99" w14:paraId="6449FC86" w14:textId="77777777" w:rsidTr="00CE4B70">
        <w:tc>
          <w:tcPr>
            <w:tcW w:w="3227" w:type="dxa"/>
          </w:tcPr>
          <w:p w14:paraId="24632805" w14:textId="77777777" w:rsidR="00B33D7A" w:rsidRPr="00F93C99" w:rsidRDefault="00B33D7A" w:rsidP="00B33D7A">
            <w:pPr>
              <w:spacing w:after="120" w:line="240" w:lineRule="auto"/>
              <w:rPr>
                <w:b/>
                <w:bCs/>
                <w:sz w:val="24"/>
                <w:szCs w:val="32"/>
              </w:rPr>
            </w:pPr>
            <w:r w:rsidRPr="00F93C99">
              <w:rPr>
                <w:b/>
                <w:bCs/>
                <w:sz w:val="24"/>
                <w:szCs w:val="32"/>
              </w:rPr>
              <w:t>Stockley’s Drug Interactions &amp; Interactions Checker</w:t>
            </w:r>
          </w:p>
        </w:tc>
        <w:tc>
          <w:tcPr>
            <w:tcW w:w="6735" w:type="dxa"/>
          </w:tcPr>
          <w:p w14:paraId="5E7AF21C" w14:textId="7F2A9F2B" w:rsidR="00A233AF" w:rsidRDefault="00C71BAE" w:rsidP="00B33D7A">
            <w:pPr>
              <w:spacing w:after="120" w:line="240" w:lineRule="auto"/>
            </w:pPr>
            <w:r>
              <w:t>Stockley’s search function works with both brand and generic names, and also includes some foreign brand names. Beware that:</w:t>
            </w:r>
          </w:p>
          <w:p w14:paraId="43AE820E" w14:textId="3195B989" w:rsidR="00C71BAE" w:rsidRDefault="00C71BAE" w:rsidP="00C71BAE">
            <w:pPr>
              <w:pStyle w:val="ListParagraph"/>
              <w:numPr>
                <w:ilvl w:val="0"/>
                <w:numId w:val="22"/>
              </w:numPr>
              <w:spacing w:after="120" w:line="240" w:lineRule="auto"/>
            </w:pPr>
            <w:r>
              <w:t>Some brands may have different contents in the UK vs abroad</w:t>
            </w:r>
          </w:p>
          <w:p w14:paraId="67526CEC" w14:textId="5092BEDC" w:rsidR="00C71BAE" w:rsidRPr="00C71BAE" w:rsidRDefault="00C71BAE" w:rsidP="00C71BAE">
            <w:pPr>
              <w:pStyle w:val="ListParagraph"/>
              <w:numPr>
                <w:ilvl w:val="0"/>
                <w:numId w:val="22"/>
              </w:numPr>
              <w:spacing w:after="120" w:line="240" w:lineRule="auto"/>
            </w:pPr>
            <w:r>
              <w:t xml:space="preserve">Some </w:t>
            </w:r>
            <w:r w:rsidR="00A660AB">
              <w:t>brand names are the same as a UK generic name, e.g. midodrine</w:t>
            </w:r>
            <w:r w:rsidR="008E4966">
              <w:t xml:space="preserve">, which is the name of a brand of </w:t>
            </w:r>
            <w:proofErr w:type="spellStart"/>
            <w:r w:rsidR="008E4966">
              <w:t>mesalazine</w:t>
            </w:r>
            <w:proofErr w:type="spellEnd"/>
            <w:r w:rsidR="005C75B8">
              <w:t xml:space="preserve"> in Indonesia.</w:t>
            </w:r>
          </w:p>
          <w:p w14:paraId="2E11575C" w14:textId="4DA56E07" w:rsidR="004F15BE" w:rsidRPr="0027513E" w:rsidRDefault="004F15BE" w:rsidP="00B33D7A">
            <w:pPr>
              <w:spacing w:after="120" w:line="240" w:lineRule="auto"/>
              <w:rPr>
                <w:b/>
                <w:bCs/>
              </w:rPr>
            </w:pPr>
            <w:r>
              <w:rPr>
                <w:b/>
                <w:bCs/>
              </w:rPr>
              <w:t>Stockley’s Drug Interactions vs Checker</w:t>
            </w:r>
          </w:p>
          <w:p w14:paraId="0B0306D6" w14:textId="6879E0AD" w:rsidR="00B33D7A" w:rsidRPr="00F93C99" w:rsidRDefault="00B33D7A" w:rsidP="00B33D7A">
            <w:pPr>
              <w:spacing w:after="120" w:line="240" w:lineRule="auto"/>
            </w:pPr>
            <w:r w:rsidRPr="00F93C99">
              <w:lastRenderedPageBreak/>
              <w:t xml:space="preserve">Stockley’s Interactions Checker and Stockley’s Interactions Alerts are different terms for the same database. </w:t>
            </w:r>
            <w:r w:rsidR="00A43AFC" w:rsidRPr="00F93C99">
              <w:t>To</w:t>
            </w:r>
            <w:r w:rsidRPr="00F93C99">
              <w:t xml:space="preserve"> search Stockley’s Drug Interactions comprehensively you need to search both interfaces i.e</w:t>
            </w:r>
            <w:r w:rsidR="00C42255">
              <w:t>.</w:t>
            </w:r>
            <w:r w:rsidRPr="00F93C99">
              <w:t xml:space="preserve"> Stockley’s Drug Interactions and Stockley’s Interactions Checker.</w:t>
            </w:r>
          </w:p>
          <w:p w14:paraId="7902ECEB" w14:textId="3E335A13" w:rsidR="00B33D7A" w:rsidRDefault="00B33D7A" w:rsidP="00B33D7A">
            <w:pPr>
              <w:spacing w:after="120" w:line="240" w:lineRule="auto"/>
            </w:pPr>
            <w:r w:rsidRPr="00C42255">
              <w:t>Th</w:t>
            </w:r>
            <w:r w:rsidR="00C42255" w:rsidRPr="00C42255">
              <w:t>e</w:t>
            </w:r>
            <w:r w:rsidR="00C42255">
              <w:t xml:space="preserve"> </w:t>
            </w:r>
            <w:r w:rsidR="00C42255" w:rsidRPr="00C42255">
              <w:rPr>
                <w:i/>
                <w:iCs/>
              </w:rPr>
              <w:t>Stockley</w:t>
            </w:r>
            <w:r w:rsidR="00C42255">
              <w:rPr>
                <w:i/>
                <w:iCs/>
              </w:rPr>
              <w:t xml:space="preserve"> </w:t>
            </w:r>
            <w:r w:rsidR="00C42255">
              <w:t>resources are</w:t>
            </w:r>
            <w:r w:rsidRPr="00F93C99">
              <w:t xml:space="preserve"> not and w</w:t>
            </w:r>
            <w:r w:rsidR="00C42255">
              <w:t>ere</w:t>
            </w:r>
            <w:r w:rsidRPr="00F93C99">
              <w:t xml:space="preserve"> never intended to be a definitive guide to every possible drug interaction – so should not be used as a sole source for “screening” patients’ medications for potential interactions.</w:t>
            </w:r>
          </w:p>
          <w:p w14:paraId="531362F1" w14:textId="259B2EF9" w:rsidR="0082764F" w:rsidRPr="0027513E" w:rsidRDefault="0082764F" w:rsidP="00B33D7A">
            <w:pPr>
              <w:spacing w:after="120" w:line="240" w:lineRule="auto"/>
              <w:rPr>
                <w:b/>
                <w:bCs/>
              </w:rPr>
            </w:pPr>
            <w:r w:rsidRPr="0027513E">
              <w:rPr>
                <w:b/>
                <w:bCs/>
              </w:rPr>
              <w:t xml:space="preserve">Searching </w:t>
            </w:r>
            <w:r w:rsidRPr="0027513E">
              <w:rPr>
                <w:b/>
                <w:bCs/>
                <w:i/>
                <w:iCs/>
              </w:rPr>
              <w:t xml:space="preserve">Stockley </w:t>
            </w:r>
            <w:r w:rsidRPr="0027513E">
              <w:rPr>
                <w:b/>
                <w:bCs/>
              </w:rPr>
              <w:t>resources for new drugs</w:t>
            </w:r>
          </w:p>
          <w:p w14:paraId="38758E40" w14:textId="77777777" w:rsidR="00B34A7C" w:rsidRDefault="00B34A7C" w:rsidP="00B34A7C">
            <w:pPr>
              <w:spacing w:after="120" w:line="240" w:lineRule="auto"/>
            </w:pPr>
            <w:r w:rsidRPr="00F93C99">
              <w:t xml:space="preserve">New interactions between specific drugs are often added to the </w:t>
            </w:r>
            <w:r w:rsidRPr="00F93C99">
              <w:rPr>
                <w:i/>
                <w:iCs/>
              </w:rPr>
              <w:t>Checker</w:t>
            </w:r>
            <w:r w:rsidRPr="00F93C99">
              <w:t xml:space="preserve">, and a full monograph in </w:t>
            </w:r>
            <w:r w:rsidRPr="00F93C99">
              <w:rPr>
                <w:i/>
                <w:iCs/>
              </w:rPr>
              <w:t xml:space="preserve">Stockley’s Drug Interactions </w:t>
            </w:r>
            <w:r w:rsidRPr="00F93C99">
              <w:t>added later.</w:t>
            </w:r>
          </w:p>
          <w:p w14:paraId="6F0B4B26" w14:textId="19C23C6A" w:rsidR="00B34A7C" w:rsidRDefault="00F31094" w:rsidP="00B34A7C">
            <w:pPr>
              <w:spacing w:after="120" w:line="240" w:lineRule="auto"/>
            </w:pPr>
            <w:r>
              <w:t>New d</w:t>
            </w:r>
            <w:r w:rsidR="00B34A7C">
              <w:t xml:space="preserve">rug interaction listings in Stockley's Drug Interactions Checker may be generated </w:t>
            </w:r>
            <w:r w:rsidR="001B0349">
              <w:t>automatically and</w:t>
            </w:r>
            <w:r w:rsidR="00B34A7C">
              <w:t xml:space="preserve"> may therefore include interactions that do not exist, or are not clinically relevant. Clinical review by real people occurs later.</w:t>
            </w:r>
          </w:p>
          <w:p w14:paraId="1F4ED882" w14:textId="06A4EF84" w:rsidR="00B34A7C" w:rsidRDefault="00B34A7C" w:rsidP="00B34A7C">
            <w:pPr>
              <w:spacing w:after="120" w:line="240" w:lineRule="auto"/>
            </w:pPr>
            <w:r>
              <w:t xml:space="preserve">This is most likely to be a problem with very new drugs, when you may be checking in the interval between the publication of the </w:t>
            </w:r>
            <w:r w:rsidR="001B0349">
              <w:t>automatically generated</w:t>
            </w:r>
            <w:r>
              <w:t xml:space="preserve"> listing, and its review by a human being.</w:t>
            </w:r>
          </w:p>
          <w:p w14:paraId="43C3F2E1" w14:textId="442206D1" w:rsidR="00B34A7C" w:rsidRDefault="00B34A7C" w:rsidP="00B34A7C">
            <w:pPr>
              <w:spacing w:after="120" w:line="240" w:lineRule="auto"/>
            </w:pPr>
            <w:r>
              <w:t xml:space="preserve">If you </w:t>
            </w:r>
            <w:r w:rsidR="005241F4">
              <w:t>encounter an interaction listing that surprises you, verify it in other resources. It</w:t>
            </w:r>
            <w:r>
              <w:t xml:space="preserve"> is</w:t>
            </w:r>
            <w:r w:rsidR="00F31094">
              <w:t xml:space="preserve"> </w:t>
            </w:r>
            <w:r>
              <w:t>good practice to check all interaction enquiries in at least two resources, as interaction resources vary in their coverage and interpretation.</w:t>
            </w:r>
          </w:p>
          <w:p w14:paraId="4D65DC79" w14:textId="523823D3" w:rsidR="0082764F" w:rsidRPr="0082764F" w:rsidRDefault="00B34A7C" w:rsidP="00B33D7A">
            <w:pPr>
              <w:spacing w:after="120" w:line="240" w:lineRule="auto"/>
            </w:pPr>
            <w:r>
              <w:t xml:space="preserve">If you have concerns about the interpretation of an interaction listed in </w:t>
            </w:r>
            <w:r>
              <w:rPr>
                <w:i/>
                <w:iCs/>
              </w:rPr>
              <w:t xml:space="preserve">Stockley, </w:t>
            </w:r>
            <w:r>
              <w:t xml:space="preserve">contact the editor, specifying </w:t>
            </w:r>
            <w:r w:rsidR="001B0349">
              <w:t>your concerns</w:t>
            </w:r>
            <w:r>
              <w:t>.</w:t>
            </w:r>
            <w:r w:rsidR="00F31094">
              <w:t xml:space="preserve"> The editorial team usually responds within a few days.</w:t>
            </w:r>
          </w:p>
          <w:p w14:paraId="47FECC53" w14:textId="03F65B43" w:rsidR="004F15BE" w:rsidRPr="0027513E" w:rsidRDefault="004F15BE" w:rsidP="00B33D7A">
            <w:pPr>
              <w:spacing w:after="120" w:line="240" w:lineRule="auto"/>
              <w:rPr>
                <w:b/>
                <w:bCs/>
              </w:rPr>
            </w:pPr>
            <w:r>
              <w:rPr>
                <w:b/>
                <w:bCs/>
              </w:rPr>
              <w:t>Mechanisms of Drug Interactions/P450 Tables</w:t>
            </w:r>
          </w:p>
          <w:p w14:paraId="0047FB4C" w14:textId="1892D3B0" w:rsidR="00B33D7A" w:rsidRPr="00F93C99" w:rsidRDefault="00B33D7A" w:rsidP="00B33D7A">
            <w:pPr>
              <w:spacing w:after="120" w:line="240" w:lineRule="auto"/>
            </w:pPr>
            <w:r w:rsidRPr="00F93C99">
              <w:rPr>
                <w:i/>
                <w:iCs/>
              </w:rPr>
              <w:t xml:space="preserve">Stockley’s Drug Interactions </w:t>
            </w:r>
            <w:r w:rsidRPr="00F93C99">
              <w:t xml:space="preserve">contains </w:t>
            </w:r>
            <w:r w:rsidR="005241F4">
              <w:t>several</w:t>
            </w:r>
            <w:r w:rsidRPr="00F93C99">
              <w:t xml:space="preserve"> general monographs on the mechanisms of drug interactions. Particularly useful are tables of CYP450 enzyme inhibitors and inducers.</w:t>
            </w:r>
          </w:p>
          <w:p w14:paraId="648032E7" w14:textId="77777777" w:rsidR="00B33D7A" w:rsidRPr="00F93C99" w:rsidRDefault="00B33D7A" w:rsidP="0027513E">
            <w:pPr>
              <w:spacing w:after="120" w:line="240" w:lineRule="auto"/>
            </w:pPr>
            <w:r w:rsidRPr="00F93C99">
              <w:t xml:space="preserve">The general monographs can be found by going to the </w:t>
            </w:r>
            <w:r w:rsidRPr="0082764F">
              <w:rPr>
                <w:i/>
                <w:iCs/>
              </w:rPr>
              <w:t xml:space="preserve">Stockley’s Drug Interactions </w:t>
            </w:r>
            <w:r w:rsidRPr="00F93C99">
              <w:t xml:space="preserve">homepage at: </w:t>
            </w:r>
            <w:hyperlink r:id="rId20" w:anchor="/browse/stockley" w:history="1">
              <w:r w:rsidRPr="00F93C99">
                <w:rPr>
                  <w:rStyle w:val="Hyperlink"/>
                </w:rPr>
                <w:t>https://www.medicinescomplete.com/#/browse/stockley</w:t>
              </w:r>
            </w:hyperlink>
            <w:r w:rsidRPr="00F93C99">
              <w:t xml:space="preserve"> and then clicking </w:t>
            </w:r>
            <w:r w:rsidRPr="0082764F">
              <w:rPr>
                <w:i/>
                <w:iCs/>
              </w:rPr>
              <w:t>General considerations and mechanisms</w:t>
            </w:r>
          </w:p>
          <w:p w14:paraId="252DACC6" w14:textId="77777777" w:rsidR="00B33D7A" w:rsidRPr="00F93C99" w:rsidRDefault="00B33D7A" w:rsidP="00B33D7A">
            <w:pPr>
              <w:spacing w:after="120" w:line="240" w:lineRule="auto"/>
            </w:pPr>
            <w:r w:rsidRPr="00F93C99">
              <w:t xml:space="preserve">For the CYP tables, then click </w:t>
            </w:r>
            <w:r w:rsidRPr="00F93C99">
              <w:rPr>
                <w:i/>
                <w:iCs/>
              </w:rPr>
              <w:t xml:space="preserve">Drug metabolism interactions. </w:t>
            </w:r>
            <w:r w:rsidRPr="00F93C99">
              <w:t>There are hyperlinks to the tables within the monograph.</w:t>
            </w:r>
          </w:p>
        </w:tc>
      </w:tr>
      <w:tr w:rsidR="00B33D7A" w:rsidRPr="00F93C99" w14:paraId="3F2B9686" w14:textId="77777777" w:rsidTr="00CE4B70">
        <w:tc>
          <w:tcPr>
            <w:tcW w:w="3227" w:type="dxa"/>
          </w:tcPr>
          <w:p w14:paraId="05697D4C" w14:textId="77777777" w:rsidR="00B33D7A" w:rsidRPr="00F93C99" w:rsidRDefault="00B33D7A" w:rsidP="00B33D7A">
            <w:pPr>
              <w:spacing w:after="120" w:line="240" w:lineRule="auto"/>
              <w:rPr>
                <w:b/>
                <w:bCs/>
                <w:sz w:val="24"/>
                <w:szCs w:val="32"/>
              </w:rPr>
            </w:pPr>
            <w:r w:rsidRPr="00F93C99">
              <w:rPr>
                <w:b/>
                <w:bCs/>
                <w:sz w:val="24"/>
                <w:szCs w:val="32"/>
              </w:rPr>
              <w:lastRenderedPageBreak/>
              <w:t>Summaries of Product Characteristics (</w:t>
            </w:r>
            <w:proofErr w:type="spellStart"/>
            <w:r w:rsidRPr="00F93C99">
              <w:rPr>
                <w:b/>
                <w:bCs/>
                <w:sz w:val="24"/>
                <w:szCs w:val="32"/>
              </w:rPr>
              <w:t>S</w:t>
            </w:r>
            <w:r>
              <w:rPr>
                <w:b/>
                <w:bCs/>
                <w:sz w:val="24"/>
                <w:szCs w:val="32"/>
              </w:rPr>
              <w:t>m</w:t>
            </w:r>
            <w:r w:rsidRPr="00F93C99">
              <w:rPr>
                <w:b/>
                <w:bCs/>
                <w:sz w:val="24"/>
                <w:szCs w:val="32"/>
              </w:rPr>
              <w:t>PCs</w:t>
            </w:r>
            <w:proofErr w:type="spellEnd"/>
            <w:r w:rsidRPr="00F93C99">
              <w:rPr>
                <w:b/>
                <w:bCs/>
                <w:sz w:val="24"/>
                <w:szCs w:val="32"/>
              </w:rPr>
              <w:t>)</w:t>
            </w:r>
          </w:p>
        </w:tc>
        <w:tc>
          <w:tcPr>
            <w:tcW w:w="6735" w:type="dxa"/>
          </w:tcPr>
          <w:p w14:paraId="5E88EE67" w14:textId="67A61E6F" w:rsidR="00867E3F" w:rsidRPr="00867E3F" w:rsidRDefault="00867E3F" w:rsidP="00B33D7A">
            <w:pPr>
              <w:spacing w:after="120" w:line="240" w:lineRule="auto"/>
              <w:rPr>
                <w:b/>
                <w:bCs/>
              </w:rPr>
            </w:pPr>
            <w:r>
              <w:rPr>
                <w:b/>
                <w:bCs/>
              </w:rPr>
              <w:t>Variation in dose/indication</w:t>
            </w:r>
            <w:r w:rsidR="005F4E39">
              <w:rPr>
                <w:b/>
                <w:bCs/>
              </w:rPr>
              <w:t>/stability</w:t>
            </w:r>
          </w:p>
          <w:p w14:paraId="3AF86D34" w14:textId="6619BA61" w:rsidR="00B33D7A" w:rsidRDefault="00B33D7A" w:rsidP="00B33D7A">
            <w:pPr>
              <w:spacing w:after="120" w:line="240" w:lineRule="auto"/>
            </w:pPr>
            <w:r w:rsidRPr="00F93C99">
              <w:t>The Summary of Product Characteristics is a medicolegal rather than a clinical document; it reflects the indications and doses for which the manufacturer applied for a product licence. A manufacturer is not obliged (and in certain cases where a patent is in existence</w:t>
            </w:r>
            <w:r w:rsidR="002E5420">
              <w:t>, is not permitted)</w:t>
            </w:r>
            <w:r w:rsidRPr="00F93C99">
              <w:t xml:space="preserve"> to apply for a licence for all possible indications. Likewise, doses for the same indication may also vary between brands. If it is important to know whether an indication/dose is within the product licence of a particular brand, you should therefore ensure that you check the correct S</w:t>
            </w:r>
            <w:r>
              <w:t>m</w:t>
            </w:r>
            <w:r w:rsidRPr="00F93C99">
              <w:t>PC.</w:t>
            </w:r>
          </w:p>
          <w:p w14:paraId="1A412C9F" w14:textId="223B40D4" w:rsidR="001E440F" w:rsidRDefault="001E440F" w:rsidP="00B33D7A">
            <w:pPr>
              <w:spacing w:after="120" w:line="240" w:lineRule="auto"/>
            </w:pPr>
            <w:r>
              <w:t>Stability information may also differ between brands, as the information quoted will depend on the stability tests done for the specific product.</w:t>
            </w:r>
          </w:p>
          <w:p w14:paraId="7DE84DF1" w14:textId="73872E41" w:rsidR="00867E3F" w:rsidRPr="00867E3F" w:rsidRDefault="00867E3F" w:rsidP="00B33D7A">
            <w:pPr>
              <w:spacing w:after="120" w:line="240" w:lineRule="auto"/>
              <w:rPr>
                <w:b/>
                <w:bCs/>
              </w:rPr>
            </w:pPr>
            <w:r>
              <w:rPr>
                <w:b/>
                <w:bCs/>
              </w:rPr>
              <w:t>Excipients</w:t>
            </w:r>
          </w:p>
          <w:p w14:paraId="67823E41" w14:textId="07E5242D" w:rsidR="00B33D7A" w:rsidRDefault="00B33D7A" w:rsidP="00B33D7A">
            <w:pPr>
              <w:spacing w:after="120" w:line="240" w:lineRule="auto"/>
            </w:pPr>
            <w:r w:rsidRPr="00F93C99">
              <w:t xml:space="preserve">Individual </w:t>
            </w:r>
            <w:proofErr w:type="spellStart"/>
            <w:r w:rsidRPr="00F93C99">
              <w:t>S</w:t>
            </w:r>
            <w:r>
              <w:t>m</w:t>
            </w:r>
            <w:r w:rsidRPr="00F93C99">
              <w:t>PCs</w:t>
            </w:r>
            <w:proofErr w:type="spellEnd"/>
            <w:r w:rsidRPr="00F93C99">
              <w:t xml:space="preserve"> may not list certain excipients if the medicine contains extremely small (“trace”) amounts. If it is vital to avoid all exposure to a given excipient it would be wise to ring the manufacturer and check.</w:t>
            </w:r>
            <w:r w:rsidR="00C42255">
              <w:t xml:space="preserve"> Also </w:t>
            </w:r>
            <w:r w:rsidR="00C42255">
              <w:lastRenderedPageBreak/>
              <w:t>consult</w:t>
            </w:r>
            <w:r w:rsidR="00867E3F">
              <w:t xml:space="preserve"> </w:t>
            </w:r>
            <w:hyperlink r:id="rId21" w:history="1">
              <w:r w:rsidR="00F240C6" w:rsidRPr="0023546D">
                <w:rPr>
                  <w:rStyle w:val="Hyperlink"/>
                </w:rPr>
                <w:t>https://www.sps.nhs.uk/articles/understanding-excipients-in-medicines/</w:t>
              </w:r>
            </w:hyperlink>
            <w:r w:rsidR="00F240C6">
              <w:t xml:space="preserve"> </w:t>
            </w:r>
          </w:p>
          <w:p w14:paraId="0D25C405" w14:textId="3B72A425" w:rsidR="00184768" w:rsidRPr="00867E3F" w:rsidRDefault="00184768" w:rsidP="00B33D7A">
            <w:pPr>
              <w:spacing w:after="120" w:line="240" w:lineRule="auto"/>
            </w:pPr>
            <w:r>
              <w:t>To find a product without (</w:t>
            </w:r>
            <w:r w:rsidR="00FB389F">
              <w:t>o</w:t>
            </w:r>
            <w:r>
              <w:t xml:space="preserve">r with) a specific excipient, follow the guidance at: </w:t>
            </w:r>
            <w:hyperlink r:id="rId22" w:history="1">
              <w:r w:rsidR="00D368D6" w:rsidRPr="009C394A">
                <w:rPr>
                  <w:rStyle w:val="Hyperlink"/>
                </w:rPr>
                <w:t>https://www.sps.nhs.uk/articles/searching-for-presence-or-absence-of-an-excipient-in-medicines/</w:t>
              </w:r>
            </w:hyperlink>
            <w:r w:rsidR="00D368D6">
              <w:t xml:space="preserve"> </w:t>
            </w:r>
          </w:p>
          <w:p w14:paraId="0A9B1FB4" w14:textId="3DF62407" w:rsidR="00B33D7A" w:rsidRPr="00F93C99" w:rsidRDefault="00B33D7A" w:rsidP="00B33D7A">
            <w:pPr>
              <w:spacing w:after="120" w:line="240" w:lineRule="auto"/>
            </w:pPr>
            <w:r w:rsidRPr="00F93C99">
              <w:t xml:space="preserve">The electronic Medicines Compendium (eMC) has an advanced search function at: </w:t>
            </w:r>
            <w:hyperlink r:id="rId23" w:history="1">
              <w:r w:rsidRPr="00F93C99">
                <w:rPr>
                  <w:rStyle w:val="Hyperlink"/>
                </w:rPr>
                <w:t>https://www.medicines.org.uk/emc/advanced-search</w:t>
              </w:r>
            </w:hyperlink>
            <w:r w:rsidRPr="00F93C99">
              <w:t xml:space="preserve">. This allows searching for documents “By word or phrase” or “By SmPC section”. Although this is very useful, there have been instances in which results have been inaccurate – either expected results have not appeared, or results have appeared that did not satisfy the search terms. It is </w:t>
            </w:r>
            <w:r w:rsidR="00D368D6">
              <w:t xml:space="preserve">recommended that, if you are using this functionality, you check each document in the results list to ensure it meets your requirements before passing </w:t>
            </w:r>
            <w:r w:rsidRPr="00F93C99">
              <w:t>the information to your enquirer/using it in your enquiry.​</w:t>
            </w:r>
          </w:p>
          <w:p w14:paraId="7C1BF8EE" w14:textId="7FCFA3C8" w:rsidR="00B33D7A" w:rsidRPr="00F93C99" w:rsidRDefault="00B33D7A" w:rsidP="00B33D7A">
            <w:pPr>
              <w:spacing w:after="120" w:line="240" w:lineRule="auto"/>
              <w:rPr>
                <w:b/>
                <w:bCs/>
              </w:rPr>
            </w:pPr>
            <w:r w:rsidRPr="00F93C99">
              <w:rPr>
                <w:b/>
                <w:bCs/>
              </w:rPr>
              <w:t xml:space="preserve">Where to find </w:t>
            </w:r>
            <w:proofErr w:type="spellStart"/>
            <w:r w:rsidR="00867E3F">
              <w:rPr>
                <w:b/>
                <w:bCs/>
              </w:rPr>
              <w:t>SmPCs</w:t>
            </w:r>
            <w:proofErr w:type="spellEnd"/>
          </w:p>
          <w:p w14:paraId="5829B9AC" w14:textId="77777777" w:rsidR="00B33D7A" w:rsidRPr="00F93C99" w:rsidRDefault="00B33D7A" w:rsidP="00B33D7A">
            <w:pPr>
              <w:pStyle w:val="ListParagraph"/>
              <w:numPr>
                <w:ilvl w:val="0"/>
                <w:numId w:val="13"/>
              </w:numPr>
              <w:spacing w:after="120" w:line="240" w:lineRule="auto"/>
              <w:contextualSpacing w:val="0"/>
              <w:rPr>
                <w:b/>
                <w:bCs/>
              </w:rPr>
            </w:pPr>
            <w:r w:rsidRPr="00F93C99">
              <w:t xml:space="preserve">Most UK </w:t>
            </w:r>
            <w:proofErr w:type="spellStart"/>
            <w:r w:rsidRPr="00F93C99">
              <w:t>S</w:t>
            </w:r>
            <w:r>
              <w:t>m</w:t>
            </w:r>
            <w:r w:rsidRPr="00F93C99">
              <w:t>PCs</w:t>
            </w:r>
            <w:proofErr w:type="spellEnd"/>
            <w:r w:rsidRPr="00F93C99">
              <w:t xml:space="preserve"> are available on the electronic Medicines Compendium (eMC): </w:t>
            </w:r>
            <w:hyperlink r:id="rId24" w:history="1">
              <w:r w:rsidRPr="00F93C99">
                <w:rPr>
                  <w:rStyle w:val="Hyperlink"/>
                </w:rPr>
                <w:t>www.medicines.org.uk</w:t>
              </w:r>
            </w:hyperlink>
            <w:r w:rsidRPr="00F93C99">
              <w:t xml:space="preserve">. However, inclusion is voluntary and some </w:t>
            </w:r>
            <w:proofErr w:type="spellStart"/>
            <w:r w:rsidRPr="00F93C99">
              <w:t>S</w:t>
            </w:r>
            <w:r>
              <w:t>m</w:t>
            </w:r>
            <w:r w:rsidRPr="00F93C99">
              <w:t>PCs</w:t>
            </w:r>
            <w:proofErr w:type="spellEnd"/>
            <w:r w:rsidRPr="00F93C99">
              <w:t xml:space="preserve"> are not listed.</w:t>
            </w:r>
          </w:p>
          <w:p w14:paraId="53C4D506" w14:textId="77777777" w:rsidR="00B33D7A" w:rsidRPr="00F93C99" w:rsidRDefault="00B33D7A" w:rsidP="00B33D7A">
            <w:pPr>
              <w:pStyle w:val="ListParagraph"/>
              <w:numPr>
                <w:ilvl w:val="0"/>
                <w:numId w:val="13"/>
              </w:numPr>
              <w:spacing w:after="120" w:line="240" w:lineRule="auto"/>
              <w:contextualSpacing w:val="0"/>
            </w:pPr>
            <w:r w:rsidRPr="00F93C99">
              <w:t xml:space="preserve">The MHRA’s website is intended to host all SPCs of UK-licensed products at </w:t>
            </w:r>
            <w:hyperlink r:id="rId25" w:history="1">
              <w:r w:rsidRPr="00F93C99">
                <w:rPr>
                  <w:rStyle w:val="Hyperlink"/>
                </w:rPr>
                <w:t>https://products.mhra.gov.uk/</w:t>
              </w:r>
            </w:hyperlink>
            <w:r w:rsidRPr="00F93C99">
              <w:t xml:space="preserve">.   </w:t>
            </w:r>
          </w:p>
          <w:p w14:paraId="412D2357" w14:textId="77777777" w:rsidR="00B33D7A" w:rsidRPr="00F93C99" w:rsidRDefault="00B33D7A" w:rsidP="00B33D7A">
            <w:pPr>
              <w:pStyle w:val="ListParagraph"/>
              <w:numPr>
                <w:ilvl w:val="0"/>
                <w:numId w:val="13"/>
              </w:numPr>
              <w:spacing w:after="120" w:line="240" w:lineRule="auto"/>
              <w:contextualSpacing w:val="0"/>
            </w:pPr>
            <w:r w:rsidRPr="00F93C99">
              <w:t>Sometimes, an S</w:t>
            </w:r>
            <w:r>
              <w:t>m</w:t>
            </w:r>
            <w:r w:rsidRPr="00F93C99">
              <w:t>PC is not listed on either the MHRA or eMC websites; in this case, the manufacturer’s website may host a copy.</w:t>
            </w:r>
          </w:p>
          <w:p w14:paraId="69E5FD68" w14:textId="77777777" w:rsidR="00B33D7A" w:rsidRDefault="00B33D7A" w:rsidP="00B33D7A">
            <w:pPr>
              <w:pStyle w:val="ListParagraph"/>
              <w:numPr>
                <w:ilvl w:val="0"/>
                <w:numId w:val="13"/>
              </w:numPr>
              <w:spacing w:after="120" w:line="240" w:lineRule="auto"/>
            </w:pPr>
            <w:r w:rsidRPr="00F93C99">
              <w:t>There have been some instances where most recent S</w:t>
            </w:r>
            <w:r>
              <w:t>m</w:t>
            </w:r>
            <w:r w:rsidRPr="00F93C99">
              <w:t>PC has not been included on one of these sites. Consult eMC first and if necessary MHRA website subsequently.</w:t>
            </w:r>
          </w:p>
          <w:p w14:paraId="37377EFC" w14:textId="77777777" w:rsidR="00B33D7A" w:rsidRPr="00F93C99" w:rsidRDefault="00B33D7A" w:rsidP="00B33D7A">
            <w:pPr>
              <w:spacing w:after="120" w:line="240" w:lineRule="auto"/>
              <w:rPr>
                <w:b/>
                <w:bCs/>
              </w:rPr>
            </w:pPr>
            <w:r w:rsidRPr="00F93C99">
              <w:rPr>
                <w:b/>
                <w:bCs/>
              </w:rPr>
              <w:t>Enquiry documentation</w:t>
            </w:r>
          </w:p>
          <w:p w14:paraId="48655B2D" w14:textId="44B7AEFC" w:rsidR="00B33D7A" w:rsidRDefault="00867E3F" w:rsidP="00B33D7A">
            <w:pPr>
              <w:pStyle w:val="ListParagraph"/>
              <w:numPr>
                <w:ilvl w:val="0"/>
                <w:numId w:val="15"/>
              </w:numPr>
              <w:spacing w:after="120" w:line="240" w:lineRule="auto"/>
              <w:contextualSpacing w:val="0"/>
            </w:pPr>
            <w:r>
              <w:t>Document sufficient information to identify the SmPC. This will normally include:</w:t>
            </w:r>
          </w:p>
          <w:p w14:paraId="3C61982A" w14:textId="25A85E6A" w:rsidR="00867E3F" w:rsidRDefault="00867E3F" w:rsidP="00867E3F">
            <w:pPr>
              <w:pStyle w:val="ListParagraph"/>
              <w:numPr>
                <w:ilvl w:val="1"/>
                <w:numId w:val="15"/>
              </w:numPr>
              <w:spacing w:after="120" w:line="240" w:lineRule="auto"/>
              <w:contextualSpacing w:val="0"/>
            </w:pPr>
            <w:r>
              <w:t>Drug name (and dose if each dose has its own SmPC)</w:t>
            </w:r>
          </w:p>
          <w:p w14:paraId="0652D889" w14:textId="564B67FB" w:rsidR="00867E3F" w:rsidRDefault="00867E3F" w:rsidP="00867E3F">
            <w:pPr>
              <w:pStyle w:val="ListParagraph"/>
              <w:numPr>
                <w:ilvl w:val="1"/>
                <w:numId w:val="15"/>
              </w:numPr>
              <w:spacing w:after="120" w:line="240" w:lineRule="auto"/>
              <w:contextualSpacing w:val="0"/>
            </w:pPr>
            <w:r>
              <w:t>Brand name</w:t>
            </w:r>
          </w:p>
          <w:p w14:paraId="25E0EFBD" w14:textId="4B0AC25C" w:rsidR="00867E3F" w:rsidRDefault="00867E3F" w:rsidP="00867E3F">
            <w:pPr>
              <w:pStyle w:val="ListParagraph"/>
              <w:numPr>
                <w:ilvl w:val="1"/>
                <w:numId w:val="15"/>
              </w:numPr>
              <w:spacing w:after="120" w:line="240" w:lineRule="auto"/>
              <w:contextualSpacing w:val="0"/>
            </w:pPr>
            <w:r>
              <w:t>Formulation</w:t>
            </w:r>
          </w:p>
          <w:p w14:paraId="4F143C89" w14:textId="77777777" w:rsidR="00867E3F" w:rsidRDefault="00867E3F" w:rsidP="00867E3F">
            <w:pPr>
              <w:pStyle w:val="ListParagraph"/>
              <w:numPr>
                <w:ilvl w:val="1"/>
                <w:numId w:val="15"/>
              </w:numPr>
              <w:spacing w:after="120" w:line="240" w:lineRule="auto"/>
              <w:contextualSpacing w:val="0"/>
            </w:pPr>
            <w:r>
              <w:t>Manufacturer name, especially if there is no brand name</w:t>
            </w:r>
          </w:p>
          <w:p w14:paraId="70D9D4FB" w14:textId="77777777" w:rsidR="00867E3F" w:rsidRDefault="00867E3F" w:rsidP="00867E3F">
            <w:pPr>
              <w:pStyle w:val="ListParagraph"/>
              <w:numPr>
                <w:ilvl w:val="1"/>
                <w:numId w:val="15"/>
              </w:numPr>
              <w:spacing w:after="120" w:line="240" w:lineRule="auto"/>
              <w:contextualSpacing w:val="0"/>
            </w:pPr>
            <w:r>
              <w:t>Date of revision of the text</w:t>
            </w:r>
          </w:p>
          <w:p w14:paraId="532B4CBB" w14:textId="475FA55E" w:rsidR="00867E3F" w:rsidRPr="00F93C99" w:rsidRDefault="00867E3F" w:rsidP="00867E3F">
            <w:pPr>
              <w:pStyle w:val="ListParagraph"/>
              <w:numPr>
                <w:ilvl w:val="0"/>
                <w:numId w:val="15"/>
              </w:numPr>
              <w:spacing w:after="120" w:line="240" w:lineRule="auto"/>
              <w:contextualSpacing w:val="0"/>
            </w:pPr>
            <w:r>
              <w:t>Other information may be included if desired, such as the date of update on the eMC.</w:t>
            </w:r>
          </w:p>
        </w:tc>
      </w:tr>
      <w:tr w:rsidR="00B33D7A" w:rsidRPr="00F93C99" w14:paraId="6570F5B9" w14:textId="77777777" w:rsidTr="00CE4B70">
        <w:tc>
          <w:tcPr>
            <w:tcW w:w="3227" w:type="dxa"/>
          </w:tcPr>
          <w:p w14:paraId="063A5E70" w14:textId="77777777" w:rsidR="00B33D7A" w:rsidRPr="00F93C99" w:rsidRDefault="00B33D7A" w:rsidP="00B33D7A">
            <w:pPr>
              <w:spacing w:after="120" w:line="240" w:lineRule="auto"/>
              <w:rPr>
                <w:b/>
                <w:bCs/>
                <w:sz w:val="24"/>
                <w:szCs w:val="32"/>
              </w:rPr>
            </w:pPr>
            <w:proofErr w:type="spellStart"/>
            <w:r w:rsidRPr="00F93C99">
              <w:rPr>
                <w:b/>
                <w:bCs/>
                <w:sz w:val="24"/>
                <w:szCs w:val="32"/>
              </w:rPr>
              <w:lastRenderedPageBreak/>
              <w:t>TicTac</w:t>
            </w:r>
            <w:proofErr w:type="spellEnd"/>
          </w:p>
        </w:tc>
        <w:tc>
          <w:tcPr>
            <w:tcW w:w="6735" w:type="dxa"/>
          </w:tcPr>
          <w:p w14:paraId="0845944E" w14:textId="77777777" w:rsidR="00B33D7A" w:rsidRPr="00F93C99" w:rsidRDefault="00B33D7A" w:rsidP="00B33D7A">
            <w:pPr>
              <w:pStyle w:val="ListParagraph"/>
              <w:numPr>
                <w:ilvl w:val="0"/>
                <w:numId w:val="19"/>
              </w:numPr>
              <w:spacing w:after="120" w:line="240" w:lineRule="auto"/>
              <w:contextualSpacing w:val="0"/>
            </w:pPr>
            <w:r w:rsidRPr="00F93C99">
              <w:t>Sometimes colours are described oddly within the database so, if possible, focus on other characteristics instead/as well to aid identification where possible.</w:t>
            </w:r>
          </w:p>
          <w:p w14:paraId="70572EDA" w14:textId="77777777" w:rsidR="00B33D7A" w:rsidRPr="00F93C99" w:rsidRDefault="00B33D7A" w:rsidP="00B33D7A">
            <w:pPr>
              <w:pStyle w:val="ListParagraph"/>
              <w:numPr>
                <w:ilvl w:val="0"/>
                <w:numId w:val="19"/>
              </w:numPr>
              <w:spacing w:after="120" w:line="240" w:lineRule="auto"/>
              <w:contextualSpacing w:val="0"/>
            </w:pPr>
            <w:r w:rsidRPr="00F93C99">
              <w:t>Sometimes the shape/plan descriptions of tablets can be misleading.  When searching consider all the potential options that could have been used.</w:t>
            </w:r>
          </w:p>
          <w:p w14:paraId="5BAD5C14" w14:textId="77777777" w:rsidR="00B33D7A" w:rsidRPr="00F93C99" w:rsidRDefault="00B33D7A" w:rsidP="00B33D7A">
            <w:pPr>
              <w:pStyle w:val="ListParagraph"/>
              <w:numPr>
                <w:ilvl w:val="0"/>
                <w:numId w:val="19"/>
              </w:numPr>
              <w:spacing w:after="120" w:line="240" w:lineRule="auto"/>
              <w:contextualSpacing w:val="0"/>
            </w:pPr>
            <w:r w:rsidRPr="00F93C99">
              <w:t>Avoid using the size function to narrow down your search, as this risks excluding matching products.</w:t>
            </w:r>
          </w:p>
          <w:p w14:paraId="24B240E9" w14:textId="77777777" w:rsidR="00B33D7A" w:rsidRPr="00F93C99" w:rsidRDefault="00B33D7A" w:rsidP="00B33D7A">
            <w:pPr>
              <w:pStyle w:val="ListParagraph"/>
              <w:numPr>
                <w:ilvl w:val="0"/>
                <w:numId w:val="19"/>
              </w:numPr>
              <w:spacing w:after="120" w:line="240" w:lineRule="auto"/>
              <w:contextualSpacing w:val="0"/>
            </w:pPr>
            <w:r w:rsidRPr="00F93C99">
              <w:t>Products that have recently been added and for which a sample is awaited will only be found by searching the ‘any product form’.</w:t>
            </w:r>
          </w:p>
        </w:tc>
      </w:tr>
    </w:tbl>
    <w:p w14:paraId="5485573D" w14:textId="77777777" w:rsidR="00FB389F" w:rsidRDefault="00FB389F"/>
    <w:tbl>
      <w:tblPr>
        <w:tblStyle w:val="TableGrid"/>
        <w:tblW w:w="0" w:type="auto"/>
        <w:tblLayout w:type="fixed"/>
        <w:tblLook w:val="04A0" w:firstRow="1" w:lastRow="0" w:firstColumn="1" w:lastColumn="0" w:noHBand="0" w:noVBand="1"/>
      </w:tblPr>
      <w:tblGrid>
        <w:gridCol w:w="3227"/>
        <w:gridCol w:w="6735"/>
      </w:tblGrid>
      <w:tr w:rsidR="00B33D7A" w:rsidRPr="00F93C99" w14:paraId="720A7FB8" w14:textId="77777777" w:rsidTr="00CE4B70">
        <w:trPr>
          <w:trHeight w:val="83"/>
        </w:trPr>
        <w:tc>
          <w:tcPr>
            <w:tcW w:w="3227" w:type="dxa"/>
          </w:tcPr>
          <w:p w14:paraId="54F559ED" w14:textId="77777777" w:rsidR="00B33D7A" w:rsidRPr="00F93C99" w:rsidRDefault="00B33D7A" w:rsidP="00B33D7A">
            <w:pPr>
              <w:spacing w:after="120" w:line="240" w:lineRule="auto"/>
              <w:rPr>
                <w:b/>
                <w:bCs/>
                <w:sz w:val="24"/>
                <w:szCs w:val="32"/>
              </w:rPr>
            </w:pPr>
            <w:r w:rsidRPr="00F93C99">
              <w:rPr>
                <w:b/>
                <w:bCs/>
                <w:sz w:val="24"/>
                <w:szCs w:val="32"/>
              </w:rPr>
              <w:lastRenderedPageBreak/>
              <w:t>Travel Websites</w:t>
            </w:r>
          </w:p>
        </w:tc>
        <w:tc>
          <w:tcPr>
            <w:tcW w:w="6735" w:type="dxa"/>
          </w:tcPr>
          <w:p w14:paraId="6387BDB9" w14:textId="77777777" w:rsidR="00B33D7A" w:rsidRPr="00F93C99" w:rsidRDefault="00B33D7A" w:rsidP="00B33D7A">
            <w:pPr>
              <w:spacing w:after="120" w:line="240" w:lineRule="auto"/>
            </w:pPr>
            <w:r w:rsidRPr="00F93C99">
              <w:t>There are three main travel advice websites recommended for finding advice on travel vaccines/malaria prophylaxis:</w:t>
            </w:r>
          </w:p>
          <w:p w14:paraId="6986603C" w14:textId="77777777" w:rsidR="00B33D7A" w:rsidRPr="00F93C99" w:rsidRDefault="00B33D7A" w:rsidP="00B33D7A">
            <w:pPr>
              <w:pStyle w:val="ListParagraph"/>
              <w:numPr>
                <w:ilvl w:val="0"/>
                <w:numId w:val="16"/>
              </w:numPr>
              <w:spacing w:after="120" w:line="240" w:lineRule="auto"/>
              <w:contextualSpacing w:val="0"/>
            </w:pPr>
            <w:r w:rsidRPr="00F93C99">
              <w:rPr>
                <w:b/>
                <w:bCs/>
              </w:rPr>
              <w:t>Travel Health Pro.</w:t>
            </w:r>
            <w:r w:rsidRPr="00F93C99">
              <w:t xml:space="preserve"> This advice is based on that produced by the Health Protection Agency (now part of Public Health England).</w:t>
            </w:r>
          </w:p>
          <w:p w14:paraId="6326CB91" w14:textId="77777777" w:rsidR="00B33D7A" w:rsidRPr="00F93C99" w:rsidRDefault="00B33D7A" w:rsidP="00B33D7A">
            <w:pPr>
              <w:pStyle w:val="ListParagraph"/>
              <w:numPr>
                <w:ilvl w:val="0"/>
                <w:numId w:val="16"/>
              </w:numPr>
              <w:spacing w:after="120" w:line="240" w:lineRule="auto"/>
              <w:contextualSpacing w:val="0"/>
            </w:pPr>
            <w:proofErr w:type="spellStart"/>
            <w:r w:rsidRPr="00F93C99">
              <w:rPr>
                <w:b/>
                <w:bCs/>
              </w:rPr>
              <w:t>Travax</w:t>
            </w:r>
            <w:proofErr w:type="spellEnd"/>
            <w:r w:rsidRPr="00F93C99">
              <w:rPr>
                <w:b/>
                <w:bCs/>
              </w:rPr>
              <w:t>.</w:t>
            </w:r>
            <w:r w:rsidRPr="00F93C99">
              <w:t xml:space="preserve"> This advice is based on that produced by NHS Scotland.</w:t>
            </w:r>
          </w:p>
          <w:p w14:paraId="625C577C" w14:textId="77777777" w:rsidR="00B33D7A" w:rsidRPr="0067050F" w:rsidRDefault="00B33D7A" w:rsidP="00B33D7A">
            <w:pPr>
              <w:pStyle w:val="ListParagraph"/>
              <w:numPr>
                <w:ilvl w:val="0"/>
                <w:numId w:val="16"/>
              </w:numPr>
              <w:spacing w:after="120" w:line="240" w:lineRule="auto"/>
              <w:contextualSpacing w:val="0"/>
            </w:pPr>
            <w:proofErr w:type="spellStart"/>
            <w:r w:rsidRPr="00F93C99">
              <w:rPr>
                <w:b/>
                <w:bCs/>
              </w:rPr>
              <w:t>FitForTravel</w:t>
            </w:r>
            <w:proofErr w:type="spellEnd"/>
            <w:r w:rsidRPr="00F93C99">
              <w:rPr>
                <w:b/>
                <w:bCs/>
              </w:rPr>
              <w:t xml:space="preserve"> </w:t>
            </w:r>
            <w:r w:rsidRPr="00F93C99">
              <w:t xml:space="preserve">is the patient-facing version of </w:t>
            </w:r>
            <w:proofErr w:type="spellStart"/>
            <w:r w:rsidRPr="00F93C99">
              <w:t>Travax</w:t>
            </w:r>
            <w:proofErr w:type="spellEnd"/>
            <w:r w:rsidRPr="00F93C99">
              <w:t xml:space="preserve">, and is free access. </w:t>
            </w:r>
          </w:p>
          <w:p w14:paraId="35142D77" w14:textId="77777777" w:rsidR="001D02C1" w:rsidRDefault="00B33D7A" w:rsidP="00B33D7A">
            <w:pPr>
              <w:spacing w:after="120" w:line="240" w:lineRule="auto"/>
            </w:pPr>
            <w:r w:rsidRPr="00F93C99">
              <w:t xml:space="preserve">Advice on </w:t>
            </w:r>
            <w:proofErr w:type="spellStart"/>
            <w:r w:rsidRPr="00F93C99">
              <w:t>TravelHealthPro</w:t>
            </w:r>
            <w:proofErr w:type="spellEnd"/>
            <w:r w:rsidRPr="00F93C99">
              <w:t xml:space="preserve"> may differ from that on </w:t>
            </w:r>
            <w:proofErr w:type="spellStart"/>
            <w:r w:rsidRPr="00F93C99">
              <w:t>Travax</w:t>
            </w:r>
            <w:proofErr w:type="spellEnd"/>
            <w:r w:rsidRPr="00F93C99">
              <w:t>/</w:t>
            </w:r>
            <w:proofErr w:type="spellStart"/>
            <w:r w:rsidRPr="00F93C99">
              <w:t>FitForTravel</w:t>
            </w:r>
            <w:proofErr w:type="spellEnd"/>
            <w:r w:rsidRPr="00F93C99">
              <w:t xml:space="preserve">. However, all advice is evidence based. </w:t>
            </w:r>
          </w:p>
          <w:p w14:paraId="0B9519C6" w14:textId="31604D9C" w:rsidR="00B33D7A" w:rsidRPr="00F93C99" w:rsidRDefault="00B33D7A" w:rsidP="00B33D7A">
            <w:pPr>
              <w:spacing w:after="120" w:line="240" w:lineRule="auto"/>
            </w:pPr>
            <w:r w:rsidRPr="00F93C99">
              <w:t>It is advised that one resource only is used in the</w:t>
            </w:r>
            <w:r w:rsidR="001D02C1">
              <w:t xml:space="preserve">se circumstances: centres in England, Wales, and Northern Ireland should use Travel Health Pro, and centres in Scotland should use </w:t>
            </w:r>
            <w:proofErr w:type="spellStart"/>
            <w:r w:rsidR="001D02C1">
              <w:t>Travax</w:t>
            </w:r>
            <w:proofErr w:type="spellEnd"/>
            <w:r w:rsidR="00BC3C31">
              <w:t>/</w:t>
            </w:r>
            <w:proofErr w:type="spellStart"/>
            <w:r w:rsidR="001D02C1">
              <w:t>FitForTravel</w:t>
            </w:r>
            <w:proofErr w:type="spellEnd"/>
            <w:r w:rsidR="001D02C1">
              <w:t>.</w:t>
            </w:r>
          </w:p>
        </w:tc>
      </w:tr>
    </w:tbl>
    <w:p w14:paraId="17D297ED" w14:textId="761CF0CB" w:rsidR="00F66594" w:rsidRPr="00F93C99" w:rsidRDefault="00F66594" w:rsidP="00F66594">
      <w:pPr>
        <w:pStyle w:val="Heading1"/>
        <w:rPr>
          <w:rFonts w:cs="Arial"/>
          <w:sz w:val="24"/>
          <w:szCs w:val="24"/>
        </w:rPr>
      </w:pPr>
      <w:r w:rsidRPr="00F93C99">
        <w:rPr>
          <w:rFonts w:cs="Arial"/>
        </w:rPr>
        <w:t>Disclaimer</w:t>
      </w:r>
      <w:r w:rsidR="00404B40" w:rsidRPr="00F93C99">
        <w:rPr>
          <w:rFonts w:cs="Arial"/>
        </w:rPr>
        <w:t xml:space="preserve"> </w:t>
      </w:r>
      <w:r w:rsidR="00404B40" w:rsidRPr="00F93C99">
        <w:rPr>
          <w:rFonts w:cs="Arial"/>
          <w:sz w:val="24"/>
          <w:szCs w:val="24"/>
        </w:rPr>
        <w:t>(optional)</w:t>
      </w:r>
    </w:p>
    <w:p w14:paraId="051B3019" w14:textId="77777777" w:rsidR="00F66594" w:rsidRPr="00F93C99" w:rsidRDefault="00F66594" w:rsidP="00F66594">
      <w:pPr>
        <w:rPr>
          <w:rFonts w:cs="Arial"/>
          <w:szCs w:val="20"/>
        </w:rPr>
      </w:pPr>
      <w:r w:rsidRPr="00F93C99">
        <w:rPr>
          <w:rFonts w:cs="Arial"/>
          <w:szCs w:val="20"/>
        </w:rPr>
        <w:t>You should always consult local policies and/or guidance. This document is intended to supplement these, not to replace them.</w:t>
      </w:r>
    </w:p>
    <w:p w14:paraId="7F10F01E" w14:textId="77777777" w:rsidR="00F66594" w:rsidRPr="00F93C99" w:rsidRDefault="00F66594" w:rsidP="00F66594">
      <w:pPr>
        <w:rPr>
          <w:rFonts w:cs="Arial"/>
          <w:szCs w:val="20"/>
        </w:rPr>
      </w:pPr>
      <w:r w:rsidRPr="00F93C99">
        <w:rPr>
          <w:rFonts w:cs="Arial"/>
          <w:szCs w:val="20"/>
        </w:rPr>
        <w:t xml:space="preserve">The information and opinion in this document </w:t>
      </w:r>
      <w:proofErr w:type="gramStart"/>
      <w:r w:rsidRPr="00F93C99">
        <w:rPr>
          <w:rFonts w:cs="Arial"/>
          <w:szCs w:val="20"/>
        </w:rPr>
        <w:t>are</w:t>
      </w:r>
      <w:proofErr w:type="gramEnd"/>
      <w:r w:rsidRPr="00F93C99">
        <w:rPr>
          <w:rFonts w:cs="Arial"/>
          <w:szCs w:val="20"/>
        </w:rPr>
        <w:t xml:space="preserve"> general information. The information and opinion are not legal advice, and should not be treated as such.</w:t>
      </w:r>
    </w:p>
    <w:p w14:paraId="47D8A237" w14:textId="77777777" w:rsidR="00F66594" w:rsidRPr="00F93C99" w:rsidRDefault="00F66594" w:rsidP="00F66594">
      <w:pPr>
        <w:rPr>
          <w:rFonts w:cs="Arial"/>
          <w:szCs w:val="20"/>
        </w:rPr>
      </w:pPr>
      <w:r w:rsidRPr="00F93C99">
        <w:rPr>
          <w:rFonts w:cs="Arial"/>
          <w:szCs w:val="20"/>
        </w:rPr>
        <w:t>The information is provided without any representations or warranties, either express or implied.</w:t>
      </w:r>
    </w:p>
    <w:p w14:paraId="5CD3E06F" w14:textId="77777777" w:rsidR="00F66594" w:rsidRPr="00F93C99" w:rsidRDefault="00F66594" w:rsidP="00F66594">
      <w:pPr>
        <w:rPr>
          <w:rFonts w:cs="Arial"/>
          <w:szCs w:val="20"/>
        </w:rPr>
      </w:pPr>
      <w:r w:rsidRPr="00F93C99">
        <w:rPr>
          <w:rFonts w:cs="Arial"/>
          <w:szCs w:val="20"/>
        </w:rPr>
        <w:t>Although we have attempted to ensure that the information and opinion are true, accurate, complete, current and non-misleading, to the best of our ability, we do not warrant that we have succeeded.</w:t>
      </w:r>
    </w:p>
    <w:p w14:paraId="4755F4F7" w14:textId="77777777" w:rsidR="00F66594" w:rsidRPr="00F93C99" w:rsidRDefault="00F66594" w:rsidP="00F66594">
      <w:pPr>
        <w:rPr>
          <w:rFonts w:cs="Arial"/>
          <w:szCs w:val="20"/>
        </w:rPr>
      </w:pPr>
      <w:r w:rsidRPr="00F93C99">
        <w:rPr>
          <w:rFonts w:cs="Arial"/>
          <w:szCs w:val="20"/>
        </w:rPr>
        <w:t>You must not rely on this document as an alternative to legal advice from a legal professional.</w:t>
      </w:r>
    </w:p>
    <w:p w14:paraId="47A37E1F" w14:textId="77777777" w:rsidR="00F66594" w:rsidRPr="00F93C99" w:rsidRDefault="00F66594" w:rsidP="00F66594">
      <w:pPr>
        <w:rPr>
          <w:rFonts w:cs="Arial"/>
          <w:szCs w:val="20"/>
        </w:rPr>
      </w:pPr>
      <w:r w:rsidRPr="00F93C99">
        <w:rPr>
          <w:rFonts w:cs="Arial"/>
          <w:szCs w:val="20"/>
        </w:rPr>
        <w:t>If you have any specific questions about a legal matter, you should contact your legal services provider.</w:t>
      </w:r>
    </w:p>
    <w:p w14:paraId="662A55A8" w14:textId="77777777" w:rsidR="00F66594" w:rsidRPr="00F93C99" w:rsidRDefault="00F66594" w:rsidP="00F66594">
      <w:pPr>
        <w:rPr>
          <w:rFonts w:cs="Arial"/>
          <w:szCs w:val="20"/>
        </w:rPr>
      </w:pPr>
      <w:r w:rsidRPr="00F93C99">
        <w:rPr>
          <w:rFonts w:cs="Arial"/>
          <w:szCs w:val="20"/>
        </w:rPr>
        <w:t>Nothing in this disclaimer will:</w:t>
      </w:r>
    </w:p>
    <w:p w14:paraId="01250B8A" w14:textId="77777777" w:rsidR="00F66594" w:rsidRPr="00F93C99" w:rsidRDefault="00F66594" w:rsidP="00F66594">
      <w:pPr>
        <w:pStyle w:val="ListParagraph"/>
        <w:numPr>
          <w:ilvl w:val="0"/>
          <w:numId w:val="11"/>
        </w:numPr>
        <w:spacing w:before="120" w:after="0"/>
        <w:jc w:val="both"/>
        <w:rPr>
          <w:rFonts w:cs="Arial"/>
        </w:rPr>
      </w:pPr>
      <w:r w:rsidRPr="00F93C99">
        <w:rPr>
          <w:rFonts w:cs="Arial"/>
        </w:rPr>
        <w:t>Limit or exclude any liability for death or personal injury resulting from negligence;</w:t>
      </w:r>
    </w:p>
    <w:p w14:paraId="05386A21" w14:textId="77777777" w:rsidR="00F66594" w:rsidRPr="00F93C99" w:rsidRDefault="00F66594" w:rsidP="00F66594">
      <w:pPr>
        <w:pStyle w:val="ListParagraph"/>
        <w:numPr>
          <w:ilvl w:val="0"/>
          <w:numId w:val="11"/>
        </w:numPr>
        <w:spacing w:before="120" w:after="0"/>
        <w:jc w:val="both"/>
        <w:rPr>
          <w:rFonts w:cs="Arial"/>
        </w:rPr>
      </w:pPr>
      <w:r w:rsidRPr="00F93C99">
        <w:rPr>
          <w:rFonts w:cs="Arial"/>
        </w:rPr>
        <w:t>Limit or exclude any liability for fraud or fraudulent misrepresentation;</w:t>
      </w:r>
    </w:p>
    <w:p w14:paraId="604C21EB" w14:textId="77777777" w:rsidR="00F66594" w:rsidRPr="00F93C99" w:rsidRDefault="00F66594" w:rsidP="00F66594">
      <w:pPr>
        <w:pStyle w:val="ListParagraph"/>
        <w:numPr>
          <w:ilvl w:val="0"/>
          <w:numId w:val="11"/>
        </w:numPr>
        <w:spacing w:before="120" w:after="0"/>
        <w:jc w:val="both"/>
        <w:rPr>
          <w:rFonts w:cs="Arial"/>
        </w:rPr>
      </w:pPr>
      <w:r w:rsidRPr="00F93C99">
        <w:rPr>
          <w:rFonts w:cs="Arial"/>
        </w:rPr>
        <w:t>Limit or exclude any liabilities in any way that is not permitted under applicable law.</w:t>
      </w:r>
    </w:p>
    <w:p w14:paraId="63BE26F8" w14:textId="77777777" w:rsidR="00F66594" w:rsidRPr="00F93C99" w:rsidRDefault="006D4838" w:rsidP="00F66594">
      <w:pPr>
        <w:pStyle w:val="Heading1"/>
      </w:pPr>
      <w:r w:rsidRPr="00F93C99">
        <w:t>Contact</w:t>
      </w:r>
    </w:p>
    <w:p w14:paraId="10E9D695" w14:textId="77777777" w:rsidR="004F475C" w:rsidRPr="00F93C99" w:rsidRDefault="0045574E" w:rsidP="00F66594">
      <w:pPr>
        <w:rPr>
          <w:rFonts w:cs="Arial"/>
        </w:rPr>
      </w:pPr>
      <w:r w:rsidRPr="00F93C99">
        <w:rPr>
          <w:rFonts w:cs="Arial"/>
        </w:rPr>
        <w:t xml:space="preserve">Jen Smith </w:t>
      </w:r>
      <w:proofErr w:type="spellStart"/>
      <w:r w:rsidRPr="00F93C99">
        <w:rPr>
          <w:rFonts w:cs="Arial"/>
        </w:rPr>
        <w:t>MRPharmS</w:t>
      </w:r>
      <w:proofErr w:type="spellEnd"/>
      <w:r w:rsidRPr="00F93C99">
        <w:rPr>
          <w:rFonts w:cs="Arial"/>
        </w:rPr>
        <w:t xml:space="preserve"> </w:t>
      </w:r>
    </w:p>
    <w:p w14:paraId="3EC679BF" w14:textId="791F291F" w:rsidR="00837B69" w:rsidRPr="00F93C99" w:rsidRDefault="00D96612" w:rsidP="00F66594">
      <w:pPr>
        <w:rPr>
          <w:rFonts w:cs="Arial"/>
        </w:rPr>
      </w:pPr>
      <w:hyperlink r:id="rId26" w:history="1">
        <w:r w:rsidRPr="00592767">
          <w:rPr>
            <w:rStyle w:val="Hyperlink"/>
          </w:rPr>
          <w:t>qrmg@ukmi.org.uk</w:t>
        </w:r>
      </w:hyperlink>
      <w:r>
        <w:t xml:space="preserve"> </w:t>
      </w:r>
    </w:p>
    <w:sectPr w:rsidR="00837B69" w:rsidRPr="00F93C99" w:rsidSect="008226C8">
      <w:headerReference w:type="even" r:id="rId27"/>
      <w:headerReference w:type="default" r:id="rId28"/>
      <w:footerReference w:type="even" r:id="rId29"/>
      <w:footerReference w:type="default" r:id="rId30"/>
      <w:headerReference w:type="first" r:id="rId31"/>
      <w:footerReference w:type="first" r:id="rId3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557D" w14:textId="77777777" w:rsidR="00A454ED" w:rsidRDefault="00A454ED" w:rsidP="00B2372E">
      <w:pPr>
        <w:spacing w:after="0" w:line="240" w:lineRule="auto"/>
      </w:pPr>
      <w:r>
        <w:separator/>
      </w:r>
    </w:p>
  </w:endnote>
  <w:endnote w:type="continuationSeparator" w:id="0">
    <w:p w14:paraId="05C2BF2B" w14:textId="77777777" w:rsidR="00A454ED" w:rsidRDefault="00A454ED" w:rsidP="00B2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2623" w14:textId="77777777" w:rsidR="00430001" w:rsidRDefault="00430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46"/>
      <w:gridCol w:w="1700"/>
    </w:tblGrid>
    <w:tr w:rsidR="00C738D2" w:rsidRPr="00AB3776" w14:paraId="217DE3D9" w14:textId="77777777" w:rsidTr="00430001">
      <w:tc>
        <w:tcPr>
          <w:tcW w:w="8046" w:type="dxa"/>
        </w:tcPr>
        <w:p w14:paraId="7F659BCC" w14:textId="767D99B0" w:rsidR="00C738D2" w:rsidRPr="001A7952" w:rsidRDefault="00C738D2" w:rsidP="00C738D2">
          <w:pPr>
            <w:pStyle w:val="Footer"/>
          </w:pPr>
          <w:r>
            <w:rPr>
              <w:noProof/>
              <w:lang w:eastAsia="en-GB"/>
            </w:rPr>
            <mc:AlternateContent>
              <mc:Choice Requires="wps">
                <w:drawing>
                  <wp:anchor distT="4294967295" distB="4294967295" distL="114300" distR="114300" simplePos="0" relativeHeight="251693056" behindDoc="0" locked="0" layoutInCell="1" allowOverlap="1" wp14:anchorId="2836DE20" wp14:editId="5BF43283">
                    <wp:simplePos x="0" y="0"/>
                    <wp:positionH relativeFrom="column">
                      <wp:posOffset>12700</wp:posOffset>
                    </wp:positionH>
                    <wp:positionV relativeFrom="paragraph">
                      <wp:posOffset>-189231</wp:posOffset>
                    </wp:positionV>
                    <wp:extent cx="6197600" cy="0"/>
                    <wp:effectExtent l="0" t="0" r="1270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A0CF68" id="Straight Connector 4"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9pt" to="4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" strokecolor="#0070c0" strokeweight="1.5pt">
                    <o:lock v:ext="edit" shapetype="f"/>
                  </v:line>
                </w:pict>
              </mc:Fallback>
            </mc:AlternateContent>
          </w:r>
          <w:r w:rsidRPr="001B4AF1">
            <w:rPr>
              <w:b/>
            </w:rPr>
            <w:t xml:space="preserve">Date </w:t>
          </w:r>
          <w:r w:rsidRPr="006B6AED">
            <w:rPr>
              <w:b/>
            </w:rPr>
            <w:t>of Preparation</w:t>
          </w:r>
          <w:r w:rsidR="001F0E77">
            <w:rPr>
              <w:b/>
            </w:rPr>
            <w:t>:</w:t>
          </w:r>
          <w:r w:rsidR="0027513E" w:rsidRPr="0027513E">
            <w:rPr>
              <w:bCs/>
            </w:rPr>
            <w:t xml:space="preserve"> </w:t>
          </w:r>
          <w:r w:rsidR="001F0E77">
            <w:rPr>
              <w:bCs/>
            </w:rPr>
            <w:t xml:space="preserve">September </w:t>
          </w:r>
          <w:r w:rsidR="0027513E" w:rsidRPr="0027513E">
            <w:rPr>
              <w:bCs/>
            </w:rPr>
            <w:t>2025</w:t>
          </w:r>
          <w:r w:rsidRPr="006B6AED">
            <w:t xml:space="preserve">      </w:t>
          </w:r>
        </w:p>
      </w:tc>
      <w:tc>
        <w:tcPr>
          <w:tcW w:w="1700" w:type="dxa"/>
        </w:tcPr>
        <w:p w14:paraId="7816E5E1" w14:textId="77777777" w:rsidR="00C738D2" w:rsidRPr="00AB3776" w:rsidRDefault="00C738D2" w:rsidP="00430001">
          <w:pPr>
            <w:pStyle w:val="Footer"/>
          </w:pPr>
          <w:r w:rsidRPr="001B4AF1">
            <w:rPr>
              <w:b/>
            </w:rPr>
            <w:t xml:space="preserve">Page </w:t>
          </w:r>
          <w:r w:rsidRPr="001B4AF1">
            <w:rPr>
              <w:b/>
              <w:bCs/>
              <w:sz w:val="24"/>
              <w:szCs w:val="24"/>
            </w:rPr>
            <w:fldChar w:fldCharType="begin"/>
          </w:r>
          <w:r w:rsidRPr="001B4AF1">
            <w:rPr>
              <w:b/>
              <w:bCs/>
            </w:rPr>
            <w:instrText xml:space="preserve"> PAGE </w:instrText>
          </w:r>
          <w:r w:rsidRPr="001B4AF1">
            <w:rPr>
              <w:b/>
              <w:bCs/>
              <w:sz w:val="24"/>
              <w:szCs w:val="24"/>
            </w:rPr>
            <w:fldChar w:fldCharType="separate"/>
          </w:r>
          <w:r w:rsidR="00203DBE">
            <w:rPr>
              <w:b/>
              <w:bCs/>
              <w:noProof/>
            </w:rPr>
            <w:t>9</w:t>
          </w:r>
          <w:r w:rsidRPr="001B4AF1">
            <w:rPr>
              <w:b/>
              <w:bCs/>
              <w:sz w:val="24"/>
              <w:szCs w:val="24"/>
            </w:rPr>
            <w:fldChar w:fldCharType="end"/>
          </w:r>
          <w:r w:rsidRPr="00AB3776">
            <w:t xml:space="preserve"> of </w:t>
          </w:r>
          <w:r w:rsidRPr="001B4AF1">
            <w:rPr>
              <w:b/>
              <w:bCs/>
              <w:sz w:val="24"/>
              <w:szCs w:val="24"/>
            </w:rPr>
            <w:fldChar w:fldCharType="begin"/>
          </w:r>
          <w:r w:rsidRPr="001B4AF1">
            <w:rPr>
              <w:b/>
              <w:bCs/>
            </w:rPr>
            <w:instrText xml:space="preserve"> NUMPAGES  </w:instrText>
          </w:r>
          <w:r w:rsidRPr="001B4AF1">
            <w:rPr>
              <w:b/>
              <w:bCs/>
              <w:sz w:val="24"/>
              <w:szCs w:val="24"/>
            </w:rPr>
            <w:fldChar w:fldCharType="separate"/>
          </w:r>
          <w:r w:rsidR="00203DBE">
            <w:rPr>
              <w:b/>
              <w:bCs/>
              <w:noProof/>
            </w:rPr>
            <w:t>9</w:t>
          </w:r>
          <w:r w:rsidRPr="001B4AF1">
            <w:rPr>
              <w:b/>
              <w:bCs/>
              <w:sz w:val="24"/>
              <w:szCs w:val="24"/>
            </w:rPr>
            <w:fldChar w:fldCharType="end"/>
          </w:r>
        </w:p>
      </w:tc>
    </w:tr>
  </w:tbl>
  <w:p w14:paraId="759AC017" w14:textId="77777777" w:rsidR="00B2372E" w:rsidRPr="00314771" w:rsidRDefault="00B2372E">
    <w:pPr>
      <w:pStyle w:val="Footer"/>
      <w:rPr>
        <w:sz w:val="8"/>
        <w:szCs w:val="1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269"/>
      <w:gridCol w:w="1467"/>
    </w:tblGrid>
    <w:tr w:rsidR="00C738D2" w:rsidRPr="00AB3776" w14:paraId="3699B86E" w14:textId="77777777" w:rsidTr="00C738D2">
      <w:tc>
        <w:tcPr>
          <w:tcW w:w="8269" w:type="dxa"/>
        </w:tcPr>
        <w:p w14:paraId="1DD3284D" w14:textId="7FE60C56" w:rsidR="00C738D2" w:rsidRPr="001A7952" w:rsidRDefault="00C738D2" w:rsidP="00C738D2">
          <w:pPr>
            <w:pStyle w:val="Footer"/>
          </w:pPr>
          <w:r>
            <w:rPr>
              <w:noProof/>
              <w:lang w:eastAsia="en-GB"/>
            </w:rPr>
            <mc:AlternateContent>
              <mc:Choice Requires="wps">
                <w:drawing>
                  <wp:anchor distT="4294967295" distB="4294967295" distL="114300" distR="114300" simplePos="0" relativeHeight="251645952" behindDoc="0" locked="0" layoutInCell="1" allowOverlap="1" wp14:anchorId="5D7B57FE" wp14:editId="5FEB8A35">
                    <wp:simplePos x="0" y="0"/>
                    <wp:positionH relativeFrom="column">
                      <wp:posOffset>12700</wp:posOffset>
                    </wp:positionH>
                    <wp:positionV relativeFrom="paragraph">
                      <wp:posOffset>-189231</wp:posOffset>
                    </wp:positionV>
                    <wp:extent cx="61976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BAFD01" id="Straight Connector 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9pt" to="4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" strokecolor="#0070c0" strokeweight="1.5pt">
                    <o:lock v:ext="edit" shapetype="f"/>
                  </v:line>
                </w:pict>
              </mc:Fallback>
            </mc:AlternateContent>
          </w:r>
          <w:r w:rsidRPr="001B4AF1">
            <w:rPr>
              <w:b/>
            </w:rPr>
            <w:t xml:space="preserve">Date of </w:t>
          </w:r>
          <w:r w:rsidRPr="006B6AED">
            <w:rPr>
              <w:b/>
            </w:rPr>
            <w:t>Preparation:</w:t>
          </w:r>
          <w:r w:rsidRPr="006B6AED">
            <w:t xml:space="preserve"> </w:t>
          </w:r>
          <w:r w:rsidR="001F0E77">
            <w:t>September</w:t>
          </w:r>
          <w:r w:rsidR="00CC3C00">
            <w:t xml:space="preserve"> 2025</w:t>
          </w:r>
          <w:r w:rsidRPr="006B6AED">
            <w:t xml:space="preserve">      </w:t>
          </w:r>
        </w:p>
      </w:tc>
      <w:tc>
        <w:tcPr>
          <w:tcW w:w="1467" w:type="dxa"/>
        </w:tcPr>
        <w:p w14:paraId="48BDDB7A" w14:textId="77777777" w:rsidR="00C738D2" w:rsidRPr="00AB3776" w:rsidRDefault="00C738D2" w:rsidP="001B4AF1">
          <w:pPr>
            <w:pStyle w:val="Footer"/>
            <w:jc w:val="right"/>
          </w:pPr>
          <w:r w:rsidRPr="001B4AF1">
            <w:rPr>
              <w:b/>
            </w:rPr>
            <w:t xml:space="preserve">Page </w:t>
          </w:r>
          <w:r w:rsidRPr="001B4AF1">
            <w:rPr>
              <w:b/>
              <w:bCs/>
              <w:sz w:val="24"/>
              <w:szCs w:val="24"/>
            </w:rPr>
            <w:fldChar w:fldCharType="begin"/>
          </w:r>
          <w:r w:rsidRPr="001B4AF1">
            <w:rPr>
              <w:b/>
              <w:bCs/>
            </w:rPr>
            <w:instrText xml:space="preserve"> PAGE </w:instrText>
          </w:r>
          <w:r w:rsidRPr="001B4AF1">
            <w:rPr>
              <w:b/>
              <w:bCs/>
              <w:sz w:val="24"/>
              <w:szCs w:val="24"/>
            </w:rPr>
            <w:fldChar w:fldCharType="separate"/>
          </w:r>
          <w:r w:rsidR="00203DBE">
            <w:rPr>
              <w:b/>
              <w:bCs/>
              <w:noProof/>
            </w:rPr>
            <w:t>1</w:t>
          </w:r>
          <w:r w:rsidRPr="001B4AF1">
            <w:rPr>
              <w:b/>
              <w:bCs/>
              <w:sz w:val="24"/>
              <w:szCs w:val="24"/>
            </w:rPr>
            <w:fldChar w:fldCharType="end"/>
          </w:r>
          <w:r w:rsidRPr="00AB3776">
            <w:t xml:space="preserve"> of </w:t>
          </w:r>
          <w:r w:rsidRPr="001B4AF1">
            <w:rPr>
              <w:b/>
              <w:bCs/>
              <w:sz w:val="24"/>
              <w:szCs w:val="24"/>
            </w:rPr>
            <w:fldChar w:fldCharType="begin"/>
          </w:r>
          <w:r w:rsidRPr="001B4AF1">
            <w:rPr>
              <w:b/>
              <w:bCs/>
            </w:rPr>
            <w:instrText xml:space="preserve"> NUMPAGES  </w:instrText>
          </w:r>
          <w:r w:rsidRPr="001B4AF1">
            <w:rPr>
              <w:b/>
              <w:bCs/>
              <w:sz w:val="24"/>
              <w:szCs w:val="24"/>
            </w:rPr>
            <w:fldChar w:fldCharType="separate"/>
          </w:r>
          <w:r w:rsidR="00203DBE">
            <w:rPr>
              <w:b/>
              <w:bCs/>
              <w:noProof/>
            </w:rPr>
            <w:t>9</w:t>
          </w:r>
          <w:r w:rsidRPr="001B4AF1">
            <w:rPr>
              <w:b/>
              <w:bCs/>
              <w:sz w:val="24"/>
              <w:szCs w:val="24"/>
            </w:rPr>
            <w:fldChar w:fldCharType="end"/>
          </w:r>
        </w:p>
      </w:tc>
    </w:tr>
  </w:tbl>
  <w:p w14:paraId="42451706" w14:textId="77777777" w:rsidR="00F66594" w:rsidRDefault="00F6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4D04" w14:textId="77777777" w:rsidR="00A454ED" w:rsidRDefault="00A454ED" w:rsidP="00B2372E">
      <w:pPr>
        <w:spacing w:after="0" w:line="240" w:lineRule="auto"/>
      </w:pPr>
      <w:r>
        <w:separator/>
      </w:r>
    </w:p>
  </w:footnote>
  <w:footnote w:type="continuationSeparator" w:id="0">
    <w:p w14:paraId="5F855C81" w14:textId="77777777" w:rsidR="00A454ED" w:rsidRDefault="00A454ED" w:rsidP="00B2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B63D" w14:textId="77777777" w:rsidR="00430001" w:rsidRDefault="00430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110C" w14:textId="415698B9" w:rsidR="00B2372E" w:rsidRPr="00F66594" w:rsidRDefault="00F66594" w:rsidP="00F66594">
    <w:pPr>
      <w:jc w:val="center"/>
      <w:rPr>
        <w:b/>
        <w:color w:val="0070C0"/>
        <w:sz w:val="24"/>
      </w:rPr>
    </w:pPr>
    <w:r w:rsidRPr="00F66594">
      <w:rPr>
        <w:b/>
        <w:color w:val="0070C0"/>
        <w:sz w:val="24"/>
      </w:rPr>
      <w:t>UKMi Quality and Risk Management Group</w:t>
    </w:r>
  </w:p>
  <w:p w14:paraId="3263E5C8" w14:textId="77777777" w:rsidR="00F66594" w:rsidRPr="00F66594" w:rsidRDefault="0055051B" w:rsidP="00F66594">
    <w:pPr>
      <w:jc w:val="center"/>
      <w:rPr>
        <w:b/>
        <w:color w:val="0070C0"/>
        <w:sz w:val="24"/>
      </w:rPr>
    </w:pPr>
    <w:r>
      <w:rPr>
        <w:b/>
        <w:color w:val="0070C0"/>
        <w:sz w:val="24"/>
      </w:rPr>
      <w:t xml:space="preserve">Tips, Hints and </w:t>
    </w:r>
    <w:r w:rsidR="004F5394">
      <w:rPr>
        <w:b/>
        <w:color w:val="0070C0"/>
        <w:sz w:val="24"/>
      </w:rPr>
      <w:t xml:space="preserve">Limitations </w:t>
    </w:r>
    <w:r>
      <w:rPr>
        <w:b/>
        <w:color w:val="0070C0"/>
        <w:sz w:val="24"/>
      </w:rPr>
      <w:t>for use of C</w:t>
    </w:r>
    <w:r w:rsidR="004F5394">
      <w:rPr>
        <w:b/>
        <w:color w:val="0070C0"/>
        <w:sz w:val="24"/>
      </w:rPr>
      <w:t xml:space="preserve">ommon </w:t>
    </w:r>
    <w:r>
      <w:rPr>
        <w:b/>
        <w:color w:val="0070C0"/>
        <w:sz w:val="24"/>
      </w:rPr>
      <w:t>Medicines Information R</w:t>
    </w:r>
    <w:r w:rsidR="004F5394">
      <w:rPr>
        <w:b/>
        <w:color w:val="0070C0"/>
        <w:sz w:val="24"/>
      </w:rPr>
      <w:t>esources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0031"/>
    </w:tblGrid>
    <w:tr w:rsidR="00A0441F" w:rsidRPr="001B4AF1" w14:paraId="10114D4F" w14:textId="77777777" w:rsidTr="0027513E">
      <w:tc>
        <w:tcPr>
          <w:tcW w:w="10031" w:type="dxa"/>
          <w:tcBorders>
            <w:top w:val="nil"/>
            <w:left w:val="nil"/>
            <w:bottom w:val="nil"/>
            <w:right w:val="nil"/>
          </w:tcBorders>
        </w:tcPr>
        <w:p w14:paraId="34432C90" w14:textId="61333EE4" w:rsidR="00A0441F" w:rsidRPr="001B4AF1" w:rsidRDefault="00A0441F" w:rsidP="00D63609">
          <w:pPr>
            <w:pStyle w:val="Header"/>
            <w:rPr>
              <w:b/>
              <w:color w:val="0070C0"/>
              <w:sz w:val="24"/>
            </w:rPr>
          </w:pPr>
          <w:r>
            <w:rPr>
              <w:noProof/>
              <w:lang w:eastAsia="en-GB"/>
            </w:rPr>
            <w:drawing>
              <wp:inline distT="0" distB="0" distL="0" distR="0" wp14:anchorId="4242B0F8" wp14:editId="5FCEDCBB">
                <wp:extent cx="1371600" cy="556081"/>
                <wp:effectExtent l="0" t="0" r="0" b="3175"/>
                <wp:docPr id="5" name="Picture 5" descr="File:NHS-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NHS-Logo.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891" cy="569173"/>
                        </a:xfrm>
                        <a:prstGeom prst="rect">
                          <a:avLst/>
                        </a:prstGeom>
                        <a:noFill/>
                        <a:ln>
                          <a:noFill/>
                        </a:ln>
                      </pic:spPr>
                    </pic:pic>
                  </a:graphicData>
                </a:graphic>
              </wp:inline>
            </w:drawing>
          </w:r>
          <w:r>
            <w:rPr>
              <w:noProof/>
              <w:lang w:eastAsia="en-GB"/>
            </w:rPr>
            <w:t xml:space="preserve">                </w:t>
          </w:r>
          <w:r w:rsidR="00D63609">
            <w:rPr>
              <w:noProof/>
              <w:lang w:eastAsia="en-GB"/>
            </w:rPr>
            <w:t xml:space="preserve">           </w:t>
          </w:r>
          <w:r w:rsidR="00B34A7C">
            <w:rPr>
              <w:noProof/>
              <w:lang w:eastAsia="en-GB"/>
            </w:rPr>
            <w:t xml:space="preserve">                                             </w:t>
          </w:r>
          <w:r w:rsidR="00D63609">
            <w:rPr>
              <w:noProof/>
              <w:lang w:eastAsia="en-GB"/>
            </w:rPr>
            <w:t xml:space="preserve">                          </w:t>
          </w:r>
          <w:r>
            <w:rPr>
              <w:noProof/>
              <w:lang w:eastAsia="en-GB"/>
            </w:rPr>
            <w:drawing>
              <wp:inline distT="0" distB="0" distL="0" distR="0" wp14:anchorId="3ACE2E7A" wp14:editId="12D9E32D">
                <wp:extent cx="1392072" cy="672724"/>
                <wp:effectExtent l="0" t="0" r="0" b="0"/>
                <wp:docPr id="7" name="Picture 7" descr="C:\Users\denise.stevens\Desktop\UK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stevens\Desktop\UKMi.jpg"/>
                        <pic:cNvPicPr>
                          <a:picLocks noChangeAspect="1" noChangeArrowheads="1"/>
                        </pic:cNvPicPr>
                      </pic:nvPicPr>
                      <pic:blipFill rotWithShape="1">
                        <a:blip r:embed="rId2">
                          <a:extLst>
                            <a:ext uri="{28A0092B-C50C-407E-A947-70E740481C1C}">
                              <a14:useLocalDpi xmlns:a14="http://schemas.microsoft.com/office/drawing/2010/main" val="0"/>
                            </a:ext>
                          </a:extLst>
                        </a:blip>
                        <a:srcRect l="3311" t="5737" r="4415" b="11476"/>
                        <a:stretch/>
                      </pic:blipFill>
                      <pic:spPr bwMode="auto">
                        <a:xfrm>
                          <a:off x="0" y="0"/>
                          <a:ext cx="1395560" cy="6744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2CF7DA2" w14:textId="27EDF0D8" w:rsidR="0057586D" w:rsidRPr="00DE402D" w:rsidRDefault="0057586D" w:rsidP="0057586D">
    <w:pPr>
      <w:pStyle w:val="Header"/>
      <w:rPr>
        <w:b/>
        <w:color w:val="0070C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F42B4"/>
    <w:multiLevelType w:val="hybridMultilevel"/>
    <w:tmpl w:val="78DC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003DC"/>
    <w:multiLevelType w:val="hybridMultilevel"/>
    <w:tmpl w:val="0D8C2666"/>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77185"/>
    <w:multiLevelType w:val="hybridMultilevel"/>
    <w:tmpl w:val="81FACF7E"/>
    <w:lvl w:ilvl="0" w:tplc="E3E43F9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1171D"/>
    <w:multiLevelType w:val="hybridMultilevel"/>
    <w:tmpl w:val="F38C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03502"/>
    <w:multiLevelType w:val="hybridMultilevel"/>
    <w:tmpl w:val="AFBE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F4AB6"/>
    <w:multiLevelType w:val="hybridMultilevel"/>
    <w:tmpl w:val="C68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545A7"/>
    <w:multiLevelType w:val="hybridMultilevel"/>
    <w:tmpl w:val="F6722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8064C"/>
    <w:multiLevelType w:val="hybridMultilevel"/>
    <w:tmpl w:val="97644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64958"/>
    <w:multiLevelType w:val="multilevel"/>
    <w:tmpl w:val="02560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86D5D"/>
    <w:multiLevelType w:val="hybridMultilevel"/>
    <w:tmpl w:val="DB62C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57563"/>
    <w:multiLevelType w:val="hybridMultilevel"/>
    <w:tmpl w:val="F7DA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31BF3"/>
    <w:multiLevelType w:val="hybridMultilevel"/>
    <w:tmpl w:val="796E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652AC"/>
    <w:multiLevelType w:val="hybridMultilevel"/>
    <w:tmpl w:val="D112533A"/>
    <w:lvl w:ilvl="0" w:tplc="2DDEE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670314"/>
    <w:multiLevelType w:val="hybridMultilevel"/>
    <w:tmpl w:val="95DA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3622F"/>
    <w:multiLevelType w:val="hybridMultilevel"/>
    <w:tmpl w:val="01B4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437541"/>
    <w:multiLevelType w:val="hybridMultilevel"/>
    <w:tmpl w:val="2BFC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76005"/>
    <w:multiLevelType w:val="hybridMultilevel"/>
    <w:tmpl w:val="8F2028FE"/>
    <w:lvl w:ilvl="0" w:tplc="80BE6066">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610C0"/>
    <w:multiLevelType w:val="hybridMultilevel"/>
    <w:tmpl w:val="7E666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9E4766"/>
    <w:multiLevelType w:val="hybridMultilevel"/>
    <w:tmpl w:val="9CC81D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F42BDB"/>
    <w:multiLevelType w:val="hybridMultilevel"/>
    <w:tmpl w:val="AE04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55D0D"/>
    <w:multiLevelType w:val="hybridMultilevel"/>
    <w:tmpl w:val="2818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A19A3"/>
    <w:multiLevelType w:val="hybridMultilevel"/>
    <w:tmpl w:val="F798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E29E4"/>
    <w:multiLevelType w:val="hybridMultilevel"/>
    <w:tmpl w:val="9A2E7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400C84"/>
    <w:multiLevelType w:val="hybridMultilevel"/>
    <w:tmpl w:val="B832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B52BA"/>
    <w:multiLevelType w:val="hybridMultilevel"/>
    <w:tmpl w:val="C1BC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20F27"/>
    <w:multiLevelType w:val="hybridMultilevel"/>
    <w:tmpl w:val="1F24FFBC"/>
    <w:lvl w:ilvl="0" w:tplc="4CF6CD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A93C26"/>
    <w:multiLevelType w:val="hybridMultilevel"/>
    <w:tmpl w:val="5E80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684481">
    <w:abstractNumId w:val="21"/>
  </w:num>
  <w:num w:numId="2" w16cid:durableId="2024624203">
    <w:abstractNumId w:val="5"/>
  </w:num>
  <w:num w:numId="3" w16cid:durableId="1430856830">
    <w:abstractNumId w:val="23"/>
  </w:num>
  <w:num w:numId="4" w16cid:durableId="252054143">
    <w:abstractNumId w:val="3"/>
  </w:num>
  <w:num w:numId="5" w16cid:durableId="1535652573">
    <w:abstractNumId w:val="2"/>
  </w:num>
  <w:num w:numId="6" w16cid:durableId="1268468846">
    <w:abstractNumId w:val="18"/>
  </w:num>
  <w:num w:numId="7" w16cid:durableId="1917351491">
    <w:abstractNumId w:val="16"/>
  </w:num>
  <w:num w:numId="8" w16cid:durableId="1150752062">
    <w:abstractNumId w:val="1"/>
  </w:num>
  <w:num w:numId="9" w16cid:durableId="1475832989">
    <w:abstractNumId w:val="19"/>
  </w:num>
  <w:num w:numId="10" w16cid:durableId="156725965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16cid:durableId="869880671">
    <w:abstractNumId w:val="9"/>
  </w:num>
  <w:num w:numId="12" w16cid:durableId="969096165">
    <w:abstractNumId w:val="13"/>
  </w:num>
  <w:num w:numId="13" w16cid:durableId="543561836">
    <w:abstractNumId w:val="7"/>
  </w:num>
  <w:num w:numId="14" w16cid:durableId="1619680088">
    <w:abstractNumId w:val="26"/>
  </w:num>
  <w:num w:numId="15" w16cid:durableId="1593273592">
    <w:abstractNumId w:val="8"/>
  </w:num>
  <w:num w:numId="16" w16cid:durableId="1204829382">
    <w:abstractNumId w:val="15"/>
  </w:num>
  <w:num w:numId="17" w16cid:durableId="2040811932">
    <w:abstractNumId w:val="11"/>
  </w:num>
  <w:num w:numId="18" w16cid:durableId="1289238540">
    <w:abstractNumId w:val="6"/>
  </w:num>
  <w:num w:numId="19" w16cid:durableId="1734546350">
    <w:abstractNumId w:val="4"/>
  </w:num>
  <w:num w:numId="20" w16cid:durableId="1887990747">
    <w:abstractNumId w:val="17"/>
  </w:num>
  <w:num w:numId="21" w16cid:durableId="649752213">
    <w:abstractNumId w:val="10"/>
  </w:num>
  <w:num w:numId="22" w16cid:durableId="1045982222">
    <w:abstractNumId w:val="14"/>
  </w:num>
  <w:num w:numId="23" w16cid:durableId="1964728749">
    <w:abstractNumId w:val="25"/>
  </w:num>
  <w:num w:numId="24" w16cid:durableId="2064331312">
    <w:abstractNumId w:val="24"/>
  </w:num>
  <w:num w:numId="25" w16cid:durableId="1625041277">
    <w:abstractNumId w:val="12"/>
  </w:num>
  <w:num w:numId="26" w16cid:durableId="1897425128">
    <w:abstractNumId w:val="20"/>
  </w:num>
  <w:num w:numId="27" w16cid:durableId="1297177080">
    <w:abstractNumId w:val="22"/>
  </w:num>
  <w:num w:numId="28" w16cid:durableId="11682097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GwNDIwMTE1NzMxNTZS0lEKTi0uzszPAykwqwUAKynpwCwAAAA="/>
  </w:docVars>
  <w:rsids>
    <w:rsidRoot w:val="008E1493"/>
    <w:rsid w:val="00003718"/>
    <w:rsid w:val="00013C2A"/>
    <w:rsid w:val="00050749"/>
    <w:rsid w:val="000543A3"/>
    <w:rsid w:val="00062EA1"/>
    <w:rsid w:val="00080FF3"/>
    <w:rsid w:val="000827C7"/>
    <w:rsid w:val="00097B8F"/>
    <w:rsid w:val="000B492F"/>
    <w:rsid w:val="000B498E"/>
    <w:rsid w:val="000C19A2"/>
    <w:rsid w:val="000C1F24"/>
    <w:rsid w:val="000C4476"/>
    <w:rsid w:val="000C7794"/>
    <w:rsid w:val="000E003F"/>
    <w:rsid w:val="000E78D0"/>
    <w:rsid w:val="000F0B5E"/>
    <w:rsid w:val="000F6FFB"/>
    <w:rsid w:val="0011722C"/>
    <w:rsid w:val="001249B2"/>
    <w:rsid w:val="00132701"/>
    <w:rsid w:val="00143D19"/>
    <w:rsid w:val="00167C30"/>
    <w:rsid w:val="00171FA9"/>
    <w:rsid w:val="00184768"/>
    <w:rsid w:val="00190D51"/>
    <w:rsid w:val="001A0D67"/>
    <w:rsid w:val="001B0349"/>
    <w:rsid w:val="001B4AF1"/>
    <w:rsid w:val="001C5162"/>
    <w:rsid w:val="001D02C1"/>
    <w:rsid w:val="001D2F5C"/>
    <w:rsid w:val="001D4967"/>
    <w:rsid w:val="001D6798"/>
    <w:rsid w:val="001E3395"/>
    <w:rsid w:val="001E440F"/>
    <w:rsid w:val="001F0E77"/>
    <w:rsid w:val="00203DBE"/>
    <w:rsid w:val="00210991"/>
    <w:rsid w:val="0021639F"/>
    <w:rsid w:val="00216982"/>
    <w:rsid w:val="00265CD3"/>
    <w:rsid w:val="00274C6A"/>
    <w:rsid w:val="0027513E"/>
    <w:rsid w:val="00285598"/>
    <w:rsid w:val="002A5E7C"/>
    <w:rsid w:val="002C040E"/>
    <w:rsid w:val="002C5C33"/>
    <w:rsid w:val="002E0B0A"/>
    <w:rsid w:val="002E5420"/>
    <w:rsid w:val="002F37E0"/>
    <w:rsid w:val="003072F4"/>
    <w:rsid w:val="00312B0A"/>
    <w:rsid w:val="00314771"/>
    <w:rsid w:val="00326EA4"/>
    <w:rsid w:val="00332D9E"/>
    <w:rsid w:val="003556C3"/>
    <w:rsid w:val="0036495A"/>
    <w:rsid w:val="0037411A"/>
    <w:rsid w:val="0039534D"/>
    <w:rsid w:val="003A21B9"/>
    <w:rsid w:val="003A667E"/>
    <w:rsid w:val="003C6880"/>
    <w:rsid w:val="003E51C3"/>
    <w:rsid w:val="003F25A5"/>
    <w:rsid w:val="0040287C"/>
    <w:rsid w:val="00403504"/>
    <w:rsid w:val="00404B40"/>
    <w:rsid w:val="00407D59"/>
    <w:rsid w:val="00414757"/>
    <w:rsid w:val="00422CAE"/>
    <w:rsid w:val="00425682"/>
    <w:rsid w:val="00427F92"/>
    <w:rsid w:val="00430001"/>
    <w:rsid w:val="004401F1"/>
    <w:rsid w:val="00451B80"/>
    <w:rsid w:val="0045574E"/>
    <w:rsid w:val="004663DB"/>
    <w:rsid w:val="00484268"/>
    <w:rsid w:val="004C7F8E"/>
    <w:rsid w:val="004D2DF1"/>
    <w:rsid w:val="004E0405"/>
    <w:rsid w:val="004F15BE"/>
    <w:rsid w:val="004F475C"/>
    <w:rsid w:val="004F5394"/>
    <w:rsid w:val="004F6F5D"/>
    <w:rsid w:val="005115BD"/>
    <w:rsid w:val="005241F4"/>
    <w:rsid w:val="00530312"/>
    <w:rsid w:val="0055051B"/>
    <w:rsid w:val="00562089"/>
    <w:rsid w:val="00565DCB"/>
    <w:rsid w:val="00566528"/>
    <w:rsid w:val="00567213"/>
    <w:rsid w:val="0057586D"/>
    <w:rsid w:val="0057684D"/>
    <w:rsid w:val="005900F2"/>
    <w:rsid w:val="005944AB"/>
    <w:rsid w:val="00595A75"/>
    <w:rsid w:val="005A4BC8"/>
    <w:rsid w:val="005A6779"/>
    <w:rsid w:val="005B0707"/>
    <w:rsid w:val="005C75B8"/>
    <w:rsid w:val="005D0F9E"/>
    <w:rsid w:val="005D5137"/>
    <w:rsid w:val="005F4E39"/>
    <w:rsid w:val="006176BC"/>
    <w:rsid w:val="006247FA"/>
    <w:rsid w:val="00633190"/>
    <w:rsid w:val="00635278"/>
    <w:rsid w:val="00651F1C"/>
    <w:rsid w:val="0067050F"/>
    <w:rsid w:val="006710A5"/>
    <w:rsid w:val="00672CD0"/>
    <w:rsid w:val="006743A3"/>
    <w:rsid w:val="00680DEA"/>
    <w:rsid w:val="00685878"/>
    <w:rsid w:val="00693128"/>
    <w:rsid w:val="006A137E"/>
    <w:rsid w:val="006A5479"/>
    <w:rsid w:val="006B584E"/>
    <w:rsid w:val="006B6AED"/>
    <w:rsid w:val="006C4A58"/>
    <w:rsid w:val="006D1335"/>
    <w:rsid w:val="006D1CE2"/>
    <w:rsid w:val="006D2626"/>
    <w:rsid w:val="006D4838"/>
    <w:rsid w:val="006F1FEF"/>
    <w:rsid w:val="006F60B7"/>
    <w:rsid w:val="006F6678"/>
    <w:rsid w:val="00700048"/>
    <w:rsid w:val="007045A1"/>
    <w:rsid w:val="00712ADC"/>
    <w:rsid w:val="00714107"/>
    <w:rsid w:val="00724531"/>
    <w:rsid w:val="00736B3E"/>
    <w:rsid w:val="00744756"/>
    <w:rsid w:val="00744A38"/>
    <w:rsid w:val="00746D17"/>
    <w:rsid w:val="00750005"/>
    <w:rsid w:val="00762B1A"/>
    <w:rsid w:val="007643E0"/>
    <w:rsid w:val="007905E0"/>
    <w:rsid w:val="007B6D31"/>
    <w:rsid w:val="007B7B3C"/>
    <w:rsid w:val="007C579B"/>
    <w:rsid w:val="007F1673"/>
    <w:rsid w:val="0082080C"/>
    <w:rsid w:val="008226C8"/>
    <w:rsid w:val="00825342"/>
    <w:rsid w:val="0082764F"/>
    <w:rsid w:val="00837B69"/>
    <w:rsid w:val="00847862"/>
    <w:rsid w:val="008606B6"/>
    <w:rsid w:val="00867E3F"/>
    <w:rsid w:val="0087584D"/>
    <w:rsid w:val="0087765E"/>
    <w:rsid w:val="00877F87"/>
    <w:rsid w:val="00893686"/>
    <w:rsid w:val="008B13A7"/>
    <w:rsid w:val="008C43CC"/>
    <w:rsid w:val="008C7CC7"/>
    <w:rsid w:val="008D721B"/>
    <w:rsid w:val="008E1493"/>
    <w:rsid w:val="008E4966"/>
    <w:rsid w:val="008F36E4"/>
    <w:rsid w:val="00911553"/>
    <w:rsid w:val="009274F4"/>
    <w:rsid w:val="00946DDB"/>
    <w:rsid w:val="00955B73"/>
    <w:rsid w:val="00964798"/>
    <w:rsid w:val="00965E4C"/>
    <w:rsid w:val="00972555"/>
    <w:rsid w:val="00987410"/>
    <w:rsid w:val="009C32CC"/>
    <w:rsid w:val="009E4258"/>
    <w:rsid w:val="009F280D"/>
    <w:rsid w:val="00A0441F"/>
    <w:rsid w:val="00A07183"/>
    <w:rsid w:val="00A233AF"/>
    <w:rsid w:val="00A365DB"/>
    <w:rsid w:val="00A43AFC"/>
    <w:rsid w:val="00A454ED"/>
    <w:rsid w:val="00A5099A"/>
    <w:rsid w:val="00A53BD8"/>
    <w:rsid w:val="00A61E36"/>
    <w:rsid w:val="00A660AB"/>
    <w:rsid w:val="00A67A60"/>
    <w:rsid w:val="00A75CB0"/>
    <w:rsid w:val="00A813CB"/>
    <w:rsid w:val="00A93AF5"/>
    <w:rsid w:val="00AA169E"/>
    <w:rsid w:val="00AB440D"/>
    <w:rsid w:val="00AB5070"/>
    <w:rsid w:val="00AD334A"/>
    <w:rsid w:val="00AE1BFB"/>
    <w:rsid w:val="00AE2B28"/>
    <w:rsid w:val="00AE6B3E"/>
    <w:rsid w:val="00B00A89"/>
    <w:rsid w:val="00B20883"/>
    <w:rsid w:val="00B2372E"/>
    <w:rsid w:val="00B317FB"/>
    <w:rsid w:val="00B33D7A"/>
    <w:rsid w:val="00B34A7C"/>
    <w:rsid w:val="00B37DF8"/>
    <w:rsid w:val="00B419AC"/>
    <w:rsid w:val="00B50E8F"/>
    <w:rsid w:val="00B5735B"/>
    <w:rsid w:val="00B661D0"/>
    <w:rsid w:val="00B740EE"/>
    <w:rsid w:val="00BA4B3E"/>
    <w:rsid w:val="00BB1D1B"/>
    <w:rsid w:val="00BC3C31"/>
    <w:rsid w:val="00BF419D"/>
    <w:rsid w:val="00BF67A5"/>
    <w:rsid w:val="00BF6B79"/>
    <w:rsid w:val="00C124D9"/>
    <w:rsid w:val="00C21CE2"/>
    <w:rsid w:val="00C40760"/>
    <w:rsid w:val="00C42255"/>
    <w:rsid w:val="00C55BF2"/>
    <w:rsid w:val="00C630D0"/>
    <w:rsid w:val="00C71BAE"/>
    <w:rsid w:val="00C73869"/>
    <w:rsid w:val="00C738D2"/>
    <w:rsid w:val="00C86628"/>
    <w:rsid w:val="00C90256"/>
    <w:rsid w:val="00CA0A61"/>
    <w:rsid w:val="00CA6D7C"/>
    <w:rsid w:val="00CB4AB8"/>
    <w:rsid w:val="00CC3C00"/>
    <w:rsid w:val="00CC6562"/>
    <w:rsid w:val="00CD0F36"/>
    <w:rsid w:val="00CE33B5"/>
    <w:rsid w:val="00CE4B70"/>
    <w:rsid w:val="00CF3139"/>
    <w:rsid w:val="00D062F7"/>
    <w:rsid w:val="00D10286"/>
    <w:rsid w:val="00D11CEF"/>
    <w:rsid w:val="00D368D6"/>
    <w:rsid w:val="00D63609"/>
    <w:rsid w:val="00D736B6"/>
    <w:rsid w:val="00D73B81"/>
    <w:rsid w:val="00D73FBA"/>
    <w:rsid w:val="00D96612"/>
    <w:rsid w:val="00D9732B"/>
    <w:rsid w:val="00DA49B8"/>
    <w:rsid w:val="00DD0434"/>
    <w:rsid w:val="00DD2E80"/>
    <w:rsid w:val="00DE402D"/>
    <w:rsid w:val="00DF25E3"/>
    <w:rsid w:val="00DF29EF"/>
    <w:rsid w:val="00E0437F"/>
    <w:rsid w:val="00E05FB7"/>
    <w:rsid w:val="00E07CAB"/>
    <w:rsid w:val="00E11107"/>
    <w:rsid w:val="00E46770"/>
    <w:rsid w:val="00E71BD0"/>
    <w:rsid w:val="00E73E1A"/>
    <w:rsid w:val="00E86076"/>
    <w:rsid w:val="00EA784D"/>
    <w:rsid w:val="00EB6116"/>
    <w:rsid w:val="00EC4F54"/>
    <w:rsid w:val="00EE303F"/>
    <w:rsid w:val="00EF338F"/>
    <w:rsid w:val="00F240C6"/>
    <w:rsid w:val="00F2727D"/>
    <w:rsid w:val="00F31094"/>
    <w:rsid w:val="00F658ED"/>
    <w:rsid w:val="00F66594"/>
    <w:rsid w:val="00F91424"/>
    <w:rsid w:val="00F93C99"/>
    <w:rsid w:val="00FB2438"/>
    <w:rsid w:val="00FB389F"/>
    <w:rsid w:val="00FD05A7"/>
    <w:rsid w:val="00FD0C42"/>
    <w:rsid w:val="00FD3D6B"/>
    <w:rsid w:val="00FF2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A36"/>
  <w15:docId w15:val="{43F54CA1-FC9F-1E40-93F7-0E6BBA78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594"/>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E71BD0"/>
    <w:pPr>
      <w:keepNext/>
      <w:keepLines/>
      <w:pBdr>
        <w:bottom w:val="single" w:sz="36" w:space="1" w:color="0070C0"/>
      </w:pBdr>
      <w:spacing w:before="480"/>
      <w:outlineLvl w:val="0"/>
    </w:pPr>
    <w:rPr>
      <w:rFonts w:eastAsia="Times New Roman"/>
      <w:b/>
      <w:bCs/>
      <w:color w:val="0070C0"/>
      <w:sz w:val="36"/>
      <w:szCs w:val="28"/>
    </w:rPr>
  </w:style>
  <w:style w:type="paragraph" w:styleId="Heading2">
    <w:name w:val="heading 2"/>
    <w:basedOn w:val="Normal"/>
    <w:next w:val="Normal"/>
    <w:link w:val="Heading2Char"/>
    <w:qFormat/>
    <w:rsid w:val="00E71BD0"/>
    <w:pPr>
      <w:keepNext/>
      <w:pBdr>
        <w:bottom w:val="single" w:sz="6" w:space="1" w:color="0070C0"/>
      </w:pBdr>
      <w:spacing w:before="200"/>
      <w:outlineLvl w:val="1"/>
    </w:pPr>
    <w:rPr>
      <w:rFonts w:eastAsia="Times New Roman"/>
      <w:b/>
      <w:bCs/>
      <w:color w:val="0070C0"/>
      <w:sz w:val="32"/>
      <w:szCs w:val="20"/>
      <w:lang w:val="en-US"/>
    </w:rPr>
  </w:style>
  <w:style w:type="paragraph" w:styleId="Heading3">
    <w:name w:val="heading 3"/>
    <w:basedOn w:val="Normal"/>
    <w:next w:val="Normal"/>
    <w:link w:val="Heading3Char"/>
    <w:uiPriority w:val="9"/>
    <w:unhideWhenUsed/>
    <w:qFormat/>
    <w:rsid w:val="00E71BD0"/>
    <w:pPr>
      <w:keepNext/>
      <w:keepLines/>
      <w:spacing w:before="200"/>
      <w:outlineLvl w:val="2"/>
    </w:pPr>
    <w:rPr>
      <w:rFonts w:eastAsia="Times New Roman"/>
      <w:b/>
      <w:bCs/>
      <w:color w:val="0070C0"/>
      <w:sz w:val="28"/>
      <w:szCs w:val="20"/>
    </w:rPr>
  </w:style>
  <w:style w:type="paragraph" w:styleId="Heading4">
    <w:name w:val="heading 4"/>
    <w:basedOn w:val="Normal"/>
    <w:next w:val="Normal"/>
    <w:link w:val="Heading4Char"/>
    <w:uiPriority w:val="9"/>
    <w:unhideWhenUsed/>
    <w:qFormat/>
    <w:rsid w:val="00E71BD0"/>
    <w:pPr>
      <w:keepNext/>
      <w:keepLines/>
      <w:spacing w:before="200"/>
      <w:outlineLvl w:val="3"/>
    </w:pPr>
    <w:rPr>
      <w:rFonts w:eastAsia="Times New Roman"/>
      <w:b/>
      <w:bCs/>
      <w:i/>
      <w:iCs/>
      <w:color w:val="0070C0"/>
      <w:sz w:val="24"/>
    </w:rPr>
  </w:style>
  <w:style w:type="paragraph" w:styleId="Heading5">
    <w:name w:val="heading 5"/>
    <w:basedOn w:val="Normal"/>
    <w:next w:val="Normal"/>
    <w:link w:val="Heading5Char"/>
    <w:uiPriority w:val="9"/>
    <w:unhideWhenUsed/>
    <w:qFormat/>
    <w:rsid w:val="00E71BD0"/>
    <w:pPr>
      <w:keepNext/>
      <w:keepLines/>
      <w:spacing w:before="200"/>
      <w:outlineLvl w:val="4"/>
    </w:pPr>
    <w:rPr>
      <w:rFonts w:eastAsiaTheme="majorEastAsia" w:cstheme="majorBid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1BD0"/>
    <w:rPr>
      <w:rFonts w:ascii="Arial" w:eastAsia="Times New Roman" w:hAnsi="Arial"/>
      <w:b/>
      <w:bCs/>
      <w:color w:val="0070C0"/>
      <w:sz w:val="36"/>
      <w:szCs w:val="28"/>
      <w:lang w:eastAsia="en-US"/>
    </w:rPr>
  </w:style>
  <w:style w:type="character" w:customStyle="1" w:styleId="Heading2Char">
    <w:name w:val="Heading 2 Char"/>
    <w:link w:val="Heading2"/>
    <w:rsid w:val="00E71BD0"/>
    <w:rPr>
      <w:rFonts w:ascii="Arial" w:eastAsia="Times New Roman" w:hAnsi="Arial"/>
      <w:b/>
      <w:bCs/>
      <w:color w:val="0070C0"/>
      <w:sz w:val="32"/>
      <w:lang w:val="en-US" w:eastAsia="en-US"/>
    </w:rPr>
  </w:style>
  <w:style w:type="character" w:customStyle="1" w:styleId="Heading3Char">
    <w:name w:val="Heading 3 Char"/>
    <w:link w:val="Heading3"/>
    <w:uiPriority w:val="9"/>
    <w:rsid w:val="00E71BD0"/>
    <w:rPr>
      <w:rFonts w:ascii="Arial" w:eastAsia="Times New Roman" w:hAnsi="Arial"/>
      <w:b/>
      <w:bCs/>
      <w:color w:val="0070C0"/>
      <w:sz w:val="28"/>
      <w:lang w:eastAsia="en-US"/>
    </w:rPr>
  </w:style>
  <w:style w:type="character" w:styleId="Hyperlink">
    <w:name w:val="Hyperlink"/>
    <w:rsid w:val="00B2372E"/>
    <w:rPr>
      <w:color w:val="0000FF"/>
      <w:u w:val="single"/>
    </w:rPr>
  </w:style>
  <w:style w:type="paragraph" w:styleId="ListParagraph">
    <w:name w:val="List Paragraph"/>
    <w:basedOn w:val="Normal"/>
    <w:uiPriority w:val="34"/>
    <w:qFormat/>
    <w:rsid w:val="00B2372E"/>
    <w:pPr>
      <w:ind w:left="720"/>
      <w:contextualSpacing/>
    </w:pPr>
  </w:style>
  <w:style w:type="paragraph" w:styleId="Header">
    <w:name w:val="header"/>
    <w:basedOn w:val="Normal"/>
    <w:link w:val="HeaderChar"/>
    <w:unhideWhenUsed/>
    <w:rsid w:val="00B2372E"/>
    <w:pPr>
      <w:tabs>
        <w:tab w:val="center" w:pos="4513"/>
        <w:tab w:val="right" w:pos="9026"/>
      </w:tabs>
      <w:spacing w:after="0" w:line="240" w:lineRule="auto"/>
    </w:pPr>
  </w:style>
  <w:style w:type="character" w:customStyle="1" w:styleId="HeaderChar">
    <w:name w:val="Header Char"/>
    <w:link w:val="Header"/>
    <w:uiPriority w:val="99"/>
    <w:semiHidden/>
    <w:rsid w:val="00B2372E"/>
    <w:rPr>
      <w:rFonts w:ascii="Arial" w:eastAsia="Calibri" w:hAnsi="Arial" w:cs="Times New Roman"/>
      <w:sz w:val="20"/>
    </w:rPr>
  </w:style>
  <w:style w:type="paragraph" w:styleId="Footer">
    <w:name w:val="footer"/>
    <w:basedOn w:val="Normal"/>
    <w:link w:val="FooterChar"/>
    <w:uiPriority w:val="99"/>
    <w:unhideWhenUsed/>
    <w:rsid w:val="00B2372E"/>
    <w:pPr>
      <w:tabs>
        <w:tab w:val="center" w:pos="4513"/>
        <w:tab w:val="right" w:pos="9026"/>
      </w:tabs>
      <w:spacing w:after="0" w:line="240" w:lineRule="auto"/>
    </w:pPr>
  </w:style>
  <w:style w:type="character" w:customStyle="1" w:styleId="FooterChar">
    <w:name w:val="Footer Char"/>
    <w:link w:val="Footer"/>
    <w:uiPriority w:val="99"/>
    <w:rsid w:val="00B2372E"/>
    <w:rPr>
      <w:rFonts w:ascii="Arial" w:eastAsia="Calibri" w:hAnsi="Arial" w:cs="Times New Roman"/>
      <w:sz w:val="20"/>
    </w:rPr>
  </w:style>
  <w:style w:type="paragraph" w:styleId="NoSpacing">
    <w:name w:val="No Spacing"/>
    <w:uiPriority w:val="1"/>
    <w:qFormat/>
    <w:rsid w:val="00B2372E"/>
    <w:rPr>
      <w:rFonts w:ascii="Arial" w:hAnsi="Arial"/>
      <w:szCs w:val="22"/>
      <w:lang w:eastAsia="en-US"/>
    </w:rPr>
  </w:style>
  <w:style w:type="paragraph" w:styleId="BodyText">
    <w:name w:val="Body Text"/>
    <w:basedOn w:val="Normal"/>
    <w:link w:val="BodyTextChar"/>
    <w:rsid w:val="00B2372E"/>
    <w:pPr>
      <w:spacing w:after="0" w:line="240" w:lineRule="auto"/>
    </w:pPr>
    <w:rPr>
      <w:rFonts w:eastAsia="Times New Roman"/>
      <w:color w:val="000000"/>
      <w:szCs w:val="20"/>
      <w:lang w:val="en-AU"/>
    </w:rPr>
  </w:style>
  <w:style w:type="character" w:customStyle="1" w:styleId="BodyTextChar">
    <w:name w:val="Body Text Char"/>
    <w:link w:val="BodyText"/>
    <w:rsid w:val="00B2372E"/>
    <w:rPr>
      <w:rFonts w:ascii="Arial" w:eastAsia="Times New Roman" w:hAnsi="Arial" w:cs="Times New Roman"/>
      <w:color w:val="000000"/>
      <w:sz w:val="20"/>
      <w:szCs w:val="20"/>
      <w:lang w:val="en-AU"/>
    </w:rPr>
  </w:style>
  <w:style w:type="paragraph" w:styleId="BalloonText">
    <w:name w:val="Balloon Text"/>
    <w:basedOn w:val="Normal"/>
    <w:link w:val="BalloonTextChar"/>
    <w:uiPriority w:val="99"/>
    <w:semiHidden/>
    <w:unhideWhenUsed/>
    <w:rsid w:val="003A21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1B9"/>
    <w:rPr>
      <w:rFonts w:ascii="Tahoma" w:eastAsia="Calibri" w:hAnsi="Tahoma" w:cs="Tahoma"/>
      <w:sz w:val="16"/>
      <w:szCs w:val="16"/>
    </w:rPr>
  </w:style>
  <w:style w:type="character" w:customStyle="1" w:styleId="Heading4Char">
    <w:name w:val="Heading 4 Char"/>
    <w:link w:val="Heading4"/>
    <w:uiPriority w:val="9"/>
    <w:rsid w:val="00E71BD0"/>
    <w:rPr>
      <w:rFonts w:ascii="Arial" w:eastAsia="Times New Roman" w:hAnsi="Arial"/>
      <w:b/>
      <w:bCs/>
      <w:i/>
      <w:iCs/>
      <w:color w:val="0070C0"/>
      <w:sz w:val="24"/>
      <w:szCs w:val="22"/>
      <w:lang w:eastAsia="en-US"/>
    </w:rPr>
  </w:style>
  <w:style w:type="paragraph" w:styleId="Title">
    <w:name w:val="Title"/>
    <w:basedOn w:val="Normal"/>
    <w:next w:val="Normal"/>
    <w:link w:val="TitleChar"/>
    <w:uiPriority w:val="10"/>
    <w:qFormat/>
    <w:rsid w:val="00F66594"/>
    <w:pPr>
      <w:pBdr>
        <w:bottom w:val="single" w:sz="8" w:space="4" w:color="4F81BD"/>
      </w:pBdr>
      <w:spacing w:after="300" w:line="240" w:lineRule="auto"/>
      <w:contextualSpacing/>
      <w:jc w:val="center"/>
    </w:pPr>
    <w:rPr>
      <w:rFonts w:eastAsia="Times New Roman"/>
      <w:b/>
      <w:caps/>
      <w:color w:val="0070C0"/>
      <w:spacing w:val="5"/>
      <w:kern w:val="28"/>
      <w:sz w:val="52"/>
      <w:szCs w:val="52"/>
    </w:rPr>
  </w:style>
  <w:style w:type="character" w:customStyle="1" w:styleId="TitleChar">
    <w:name w:val="Title Char"/>
    <w:link w:val="Title"/>
    <w:uiPriority w:val="10"/>
    <w:rsid w:val="00F66594"/>
    <w:rPr>
      <w:rFonts w:ascii="Arial" w:eastAsia="Times New Roman" w:hAnsi="Arial" w:cs="Times New Roman"/>
      <w:b/>
      <w:caps/>
      <w:color w:val="0070C0"/>
      <w:spacing w:val="5"/>
      <w:kern w:val="28"/>
      <w:sz w:val="52"/>
      <w:szCs w:val="52"/>
    </w:rPr>
  </w:style>
  <w:style w:type="table" w:styleId="TableGrid">
    <w:name w:val="Table Grid"/>
    <w:basedOn w:val="TableNormal"/>
    <w:uiPriority w:val="59"/>
    <w:rsid w:val="0057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1BD0"/>
    <w:rPr>
      <w:rFonts w:ascii="Arial" w:eastAsiaTheme="majorEastAsia" w:hAnsi="Arial" w:cstheme="majorBidi"/>
      <w:b/>
      <w:i/>
      <w:color w:val="0070C0"/>
      <w:szCs w:val="22"/>
      <w:lang w:eastAsia="en-US"/>
    </w:rPr>
  </w:style>
  <w:style w:type="character" w:customStyle="1" w:styleId="UnresolvedMention1">
    <w:name w:val="Unresolved Mention1"/>
    <w:basedOn w:val="DefaultParagraphFont"/>
    <w:uiPriority w:val="99"/>
    <w:semiHidden/>
    <w:unhideWhenUsed/>
    <w:rsid w:val="008E1493"/>
    <w:rPr>
      <w:color w:val="605E5C"/>
      <w:shd w:val="clear" w:color="auto" w:fill="E1DFDD"/>
    </w:rPr>
  </w:style>
  <w:style w:type="character" w:styleId="FollowedHyperlink">
    <w:name w:val="FollowedHyperlink"/>
    <w:basedOn w:val="DefaultParagraphFont"/>
    <w:uiPriority w:val="99"/>
    <w:semiHidden/>
    <w:unhideWhenUsed/>
    <w:rsid w:val="00744756"/>
    <w:rPr>
      <w:color w:val="800080" w:themeColor="followedHyperlink"/>
      <w:u w:val="single"/>
    </w:rPr>
  </w:style>
  <w:style w:type="character" w:styleId="CommentReference">
    <w:name w:val="annotation reference"/>
    <w:basedOn w:val="DefaultParagraphFont"/>
    <w:uiPriority w:val="99"/>
    <w:semiHidden/>
    <w:unhideWhenUsed/>
    <w:rsid w:val="00DF29EF"/>
    <w:rPr>
      <w:sz w:val="16"/>
      <w:szCs w:val="16"/>
    </w:rPr>
  </w:style>
  <w:style w:type="paragraph" w:styleId="CommentText">
    <w:name w:val="annotation text"/>
    <w:basedOn w:val="Normal"/>
    <w:link w:val="CommentTextChar"/>
    <w:uiPriority w:val="99"/>
    <w:semiHidden/>
    <w:unhideWhenUsed/>
    <w:rsid w:val="00DF29EF"/>
    <w:pPr>
      <w:spacing w:line="240" w:lineRule="auto"/>
    </w:pPr>
    <w:rPr>
      <w:szCs w:val="20"/>
    </w:rPr>
  </w:style>
  <w:style w:type="character" w:customStyle="1" w:styleId="CommentTextChar">
    <w:name w:val="Comment Text Char"/>
    <w:basedOn w:val="DefaultParagraphFont"/>
    <w:link w:val="CommentText"/>
    <w:uiPriority w:val="99"/>
    <w:semiHidden/>
    <w:rsid w:val="00DF29E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F29EF"/>
    <w:rPr>
      <w:b/>
      <w:bCs/>
    </w:rPr>
  </w:style>
  <w:style w:type="character" w:customStyle="1" w:styleId="CommentSubjectChar">
    <w:name w:val="Comment Subject Char"/>
    <w:basedOn w:val="CommentTextChar"/>
    <w:link w:val="CommentSubject"/>
    <w:uiPriority w:val="99"/>
    <w:semiHidden/>
    <w:rsid w:val="00DF29EF"/>
    <w:rPr>
      <w:rFonts w:ascii="Arial" w:hAnsi="Arial"/>
      <w:b/>
      <w:bCs/>
      <w:lang w:eastAsia="en-US"/>
    </w:rPr>
  </w:style>
  <w:style w:type="character" w:customStyle="1" w:styleId="UnresolvedMention2">
    <w:name w:val="Unresolved Mention2"/>
    <w:basedOn w:val="DefaultParagraphFont"/>
    <w:uiPriority w:val="99"/>
    <w:semiHidden/>
    <w:unhideWhenUsed/>
    <w:rsid w:val="006C4A58"/>
    <w:rPr>
      <w:color w:val="605E5C"/>
      <w:shd w:val="clear" w:color="auto" w:fill="E1DFDD"/>
    </w:rPr>
  </w:style>
  <w:style w:type="paragraph" w:styleId="Revision">
    <w:name w:val="Revision"/>
    <w:hidden/>
    <w:uiPriority w:val="99"/>
    <w:semiHidden/>
    <w:rsid w:val="00EB6116"/>
    <w:rPr>
      <w:rFonts w:ascii="Arial" w:hAnsi="Arial"/>
      <w:szCs w:val="22"/>
      <w:lang w:eastAsia="en-US"/>
    </w:rPr>
  </w:style>
  <w:style w:type="character" w:styleId="UnresolvedMention">
    <w:name w:val="Unresolved Mention"/>
    <w:basedOn w:val="DefaultParagraphFont"/>
    <w:uiPriority w:val="99"/>
    <w:semiHidden/>
    <w:unhideWhenUsed/>
    <w:rsid w:val="00820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24876">
      <w:bodyDiv w:val="1"/>
      <w:marLeft w:val="0"/>
      <w:marRight w:val="0"/>
      <w:marTop w:val="0"/>
      <w:marBottom w:val="0"/>
      <w:divBdr>
        <w:top w:val="none" w:sz="0" w:space="0" w:color="auto"/>
        <w:left w:val="none" w:sz="0" w:space="0" w:color="auto"/>
        <w:bottom w:val="none" w:sz="0" w:space="0" w:color="auto"/>
        <w:right w:val="none" w:sz="0" w:space="0" w:color="auto"/>
      </w:divBdr>
      <w:divsChild>
        <w:div w:id="12348733">
          <w:marLeft w:val="0"/>
          <w:marRight w:val="0"/>
          <w:marTop w:val="0"/>
          <w:marBottom w:val="0"/>
          <w:divBdr>
            <w:top w:val="none" w:sz="0" w:space="0" w:color="auto"/>
            <w:left w:val="none" w:sz="0" w:space="0" w:color="auto"/>
            <w:bottom w:val="none" w:sz="0" w:space="0" w:color="auto"/>
            <w:right w:val="none" w:sz="0" w:space="0" w:color="auto"/>
          </w:divBdr>
          <w:divsChild>
            <w:div w:id="960301704">
              <w:marLeft w:val="0"/>
              <w:marRight w:val="0"/>
              <w:marTop w:val="0"/>
              <w:marBottom w:val="0"/>
              <w:divBdr>
                <w:top w:val="none" w:sz="0" w:space="0" w:color="auto"/>
                <w:left w:val="none" w:sz="0" w:space="0" w:color="auto"/>
                <w:bottom w:val="none" w:sz="0" w:space="0" w:color="auto"/>
                <w:right w:val="none" w:sz="0" w:space="0" w:color="auto"/>
              </w:divBdr>
              <w:divsChild>
                <w:div w:id="541137547">
                  <w:marLeft w:val="0"/>
                  <w:marRight w:val="0"/>
                  <w:marTop w:val="0"/>
                  <w:marBottom w:val="0"/>
                  <w:divBdr>
                    <w:top w:val="none" w:sz="0" w:space="0" w:color="auto"/>
                    <w:left w:val="none" w:sz="0" w:space="0" w:color="auto"/>
                    <w:bottom w:val="none" w:sz="0" w:space="0" w:color="auto"/>
                    <w:right w:val="none" w:sz="0" w:space="0" w:color="auto"/>
                  </w:divBdr>
                  <w:divsChild>
                    <w:div w:id="89551666">
                      <w:marLeft w:val="0"/>
                      <w:marRight w:val="0"/>
                      <w:marTop w:val="0"/>
                      <w:marBottom w:val="0"/>
                      <w:divBdr>
                        <w:top w:val="none" w:sz="0" w:space="0" w:color="auto"/>
                        <w:left w:val="none" w:sz="0" w:space="0" w:color="auto"/>
                        <w:bottom w:val="none" w:sz="0" w:space="0" w:color="auto"/>
                        <w:right w:val="none" w:sz="0" w:space="0" w:color="auto"/>
                      </w:divBdr>
                    </w:div>
                    <w:div w:id="578752067">
                      <w:marLeft w:val="0"/>
                      <w:marRight w:val="0"/>
                      <w:marTop w:val="0"/>
                      <w:marBottom w:val="0"/>
                      <w:divBdr>
                        <w:top w:val="none" w:sz="0" w:space="0" w:color="auto"/>
                        <w:left w:val="none" w:sz="0" w:space="0" w:color="auto"/>
                        <w:bottom w:val="none" w:sz="0" w:space="0" w:color="auto"/>
                        <w:right w:val="none" w:sz="0" w:space="0" w:color="auto"/>
                      </w:divBdr>
                    </w:div>
                    <w:div w:id="1014574387">
                      <w:marLeft w:val="0"/>
                      <w:marRight w:val="0"/>
                      <w:marTop w:val="0"/>
                      <w:marBottom w:val="0"/>
                      <w:divBdr>
                        <w:top w:val="none" w:sz="0" w:space="0" w:color="auto"/>
                        <w:left w:val="none" w:sz="0" w:space="0" w:color="auto"/>
                        <w:bottom w:val="none" w:sz="0" w:space="0" w:color="auto"/>
                        <w:right w:val="none" w:sz="0" w:space="0" w:color="auto"/>
                      </w:divBdr>
                    </w:div>
                    <w:div w:id="2137988400">
                      <w:marLeft w:val="0"/>
                      <w:marRight w:val="0"/>
                      <w:marTop w:val="0"/>
                      <w:marBottom w:val="0"/>
                      <w:divBdr>
                        <w:top w:val="none" w:sz="0" w:space="0" w:color="auto"/>
                        <w:left w:val="none" w:sz="0" w:space="0" w:color="auto"/>
                        <w:bottom w:val="none" w:sz="0" w:space="0" w:color="auto"/>
                        <w:right w:val="none" w:sz="0" w:space="0" w:color="auto"/>
                      </w:divBdr>
                    </w:div>
                  </w:divsChild>
                </w:div>
                <w:div w:id="871303750">
                  <w:marLeft w:val="0"/>
                  <w:marRight w:val="0"/>
                  <w:marTop w:val="0"/>
                  <w:marBottom w:val="0"/>
                  <w:divBdr>
                    <w:top w:val="none" w:sz="0" w:space="0" w:color="auto"/>
                    <w:left w:val="none" w:sz="0" w:space="0" w:color="auto"/>
                    <w:bottom w:val="none" w:sz="0" w:space="0" w:color="auto"/>
                    <w:right w:val="none" w:sz="0" w:space="0" w:color="auto"/>
                  </w:divBdr>
                  <w:divsChild>
                    <w:div w:id="1686783309">
                      <w:marLeft w:val="0"/>
                      <w:marRight w:val="0"/>
                      <w:marTop w:val="0"/>
                      <w:marBottom w:val="0"/>
                      <w:divBdr>
                        <w:top w:val="none" w:sz="0" w:space="0" w:color="auto"/>
                        <w:left w:val="none" w:sz="0" w:space="0" w:color="auto"/>
                        <w:bottom w:val="none" w:sz="0" w:space="0" w:color="auto"/>
                        <w:right w:val="none" w:sz="0" w:space="0" w:color="auto"/>
                      </w:divBdr>
                    </w:div>
                  </w:divsChild>
                </w:div>
                <w:div w:id="1095593688">
                  <w:marLeft w:val="0"/>
                  <w:marRight w:val="0"/>
                  <w:marTop w:val="0"/>
                  <w:marBottom w:val="0"/>
                  <w:divBdr>
                    <w:top w:val="none" w:sz="0" w:space="0" w:color="auto"/>
                    <w:left w:val="none" w:sz="0" w:space="0" w:color="auto"/>
                    <w:bottom w:val="none" w:sz="0" w:space="0" w:color="auto"/>
                    <w:right w:val="none" w:sz="0" w:space="0" w:color="auto"/>
                  </w:divBdr>
                  <w:divsChild>
                    <w:div w:id="493688385">
                      <w:marLeft w:val="0"/>
                      <w:marRight w:val="0"/>
                      <w:marTop w:val="0"/>
                      <w:marBottom w:val="0"/>
                      <w:divBdr>
                        <w:top w:val="none" w:sz="0" w:space="0" w:color="auto"/>
                        <w:left w:val="none" w:sz="0" w:space="0" w:color="auto"/>
                        <w:bottom w:val="none" w:sz="0" w:space="0" w:color="auto"/>
                        <w:right w:val="none" w:sz="0" w:space="0" w:color="auto"/>
                      </w:divBdr>
                    </w:div>
                    <w:div w:id="1147092797">
                      <w:marLeft w:val="0"/>
                      <w:marRight w:val="0"/>
                      <w:marTop w:val="0"/>
                      <w:marBottom w:val="0"/>
                      <w:divBdr>
                        <w:top w:val="none" w:sz="0" w:space="0" w:color="auto"/>
                        <w:left w:val="none" w:sz="0" w:space="0" w:color="auto"/>
                        <w:bottom w:val="none" w:sz="0" w:space="0" w:color="auto"/>
                        <w:right w:val="none" w:sz="0" w:space="0" w:color="auto"/>
                      </w:divBdr>
                    </w:div>
                    <w:div w:id="1164004793">
                      <w:marLeft w:val="0"/>
                      <w:marRight w:val="0"/>
                      <w:marTop w:val="0"/>
                      <w:marBottom w:val="0"/>
                      <w:divBdr>
                        <w:top w:val="none" w:sz="0" w:space="0" w:color="auto"/>
                        <w:left w:val="none" w:sz="0" w:space="0" w:color="auto"/>
                        <w:bottom w:val="none" w:sz="0" w:space="0" w:color="auto"/>
                        <w:right w:val="none" w:sz="0" w:space="0" w:color="auto"/>
                      </w:divBdr>
                    </w:div>
                    <w:div w:id="1271737723">
                      <w:marLeft w:val="0"/>
                      <w:marRight w:val="0"/>
                      <w:marTop w:val="0"/>
                      <w:marBottom w:val="0"/>
                      <w:divBdr>
                        <w:top w:val="none" w:sz="0" w:space="0" w:color="auto"/>
                        <w:left w:val="none" w:sz="0" w:space="0" w:color="auto"/>
                        <w:bottom w:val="none" w:sz="0" w:space="0" w:color="auto"/>
                        <w:right w:val="none" w:sz="0" w:space="0" w:color="auto"/>
                      </w:divBdr>
                    </w:div>
                    <w:div w:id="1300113818">
                      <w:marLeft w:val="0"/>
                      <w:marRight w:val="0"/>
                      <w:marTop w:val="0"/>
                      <w:marBottom w:val="0"/>
                      <w:divBdr>
                        <w:top w:val="none" w:sz="0" w:space="0" w:color="auto"/>
                        <w:left w:val="none" w:sz="0" w:space="0" w:color="auto"/>
                        <w:bottom w:val="none" w:sz="0" w:space="0" w:color="auto"/>
                        <w:right w:val="none" w:sz="0" w:space="0" w:color="auto"/>
                      </w:divBdr>
                    </w:div>
                    <w:div w:id="1838691490">
                      <w:marLeft w:val="0"/>
                      <w:marRight w:val="0"/>
                      <w:marTop w:val="0"/>
                      <w:marBottom w:val="0"/>
                      <w:divBdr>
                        <w:top w:val="none" w:sz="0" w:space="0" w:color="auto"/>
                        <w:left w:val="none" w:sz="0" w:space="0" w:color="auto"/>
                        <w:bottom w:val="none" w:sz="0" w:space="0" w:color="auto"/>
                        <w:right w:val="none" w:sz="0" w:space="0" w:color="auto"/>
                      </w:divBdr>
                      <w:divsChild>
                        <w:div w:id="187762466">
                          <w:marLeft w:val="0"/>
                          <w:marRight w:val="0"/>
                          <w:marTop w:val="0"/>
                          <w:marBottom w:val="0"/>
                          <w:divBdr>
                            <w:top w:val="none" w:sz="0" w:space="0" w:color="auto"/>
                            <w:left w:val="none" w:sz="0" w:space="0" w:color="auto"/>
                            <w:bottom w:val="none" w:sz="0" w:space="0" w:color="auto"/>
                            <w:right w:val="none" w:sz="0" w:space="0" w:color="auto"/>
                          </w:divBdr>
                        </w:div>
                        <w:div w:id="317391338">
                          <w:marLeft w:val="0"/>
                          <w:marRight w:val="0"/>
                          <w:marTop w:val="0"/>
                          <w:marBottom w:val="0"/>
                          <w:divBdr>
                            <w:top w:val="none" w:sz="0" w:space="0" w:color="auto"/>
                            <w:left w:val="none" w:sz="0" w:space="0" w:color="auto"/>
                            <w:bottom w:val="none" w:sz="0" w:space="0" w:color="auto"/>
                            <w:right w:val="none" w:sz="0" w:space="0" w:color="auto"/>
                          </w:divBdr>
                        </w:div>
                        <w:div w:id="332025575">
                          <w:marLeft w:val="0"/>
                          <w:marRight w:val="0"/>
                          <w:marTop w:val="0"/>
                          <w:marBottom w:val="0"/>
                          <w:divBdr>
                            <w:top w:val="none" w:sz="0" w:space="0" w:color="auto"/>
                            <w:left w:val="none" w:sz="0" w:space="0" w:color="auto"/>
                            <w:bottom w:val="none" w:sz="0" w:space="0" w:color="auto"/>
                            <w:right w:val="none" w:sz="0" w:space="0" w:color="auto"/>
                          </w:divBdr>
                        </w:div>
                        <w:div w:id="370812822">
                          <w:marLeft w:val="0"/>
                          <w:marRight w:val="0"/>
                          <w:marTop w:val="0"/>
                          <w:marBottom w:val="0"/>
                          <w:divBdr>
                            <w:top w:val="none" w:sz="0" w:space="0" w:color="auto"/>
                            <w:left w:val="none" w:sz="0" w:space="0" w:color="auto"/>
                            <w:bottom w:val="none" w:sz="0" w:space="0" w:color="auto"/>
                            <w:right w:val="none" w:sz="0" w:space="0" w:color="auto"/>
                          </w:divBdr>
                        </w:div>
                        <w:div w:id="557784257">
                          <w:marLeft w:val="0"/>
                          <w:marRight w:val="0"/>
                          <w:marTop w:val="0"/>
                          <w:marBottom w:val="0"/>
                          <w:divBdr>
                            <w:top w:val="none" w:sz="0" w:space="0" w:color="auto"/>
                            <w:left w:val="none" w:sz="0" w:space="0" w:color="auto"/>
                            <w:bottom w:val="none" w:sz="0" w:space="0" w:color="auto"/>
                            <w:right w:val="none" w:sz="0" w:space="0" w:color="auto"/>
                          </w:divBdr>
                        </w:div>
                        <w:div w:id="580524973">
                          <w:marLeft w:val="0"/>
                          <w:marRight w:val="0"/>
                          <w:marTop w:val="0"/>
                          <w:marBottom w:val="0"/>
                          <w:divBdr>
                            <w:top w:val="none" w:sz="0" w:space="0" w:color="auto"/>
                            <w:left w:val="none" w:sz="0" w:space="0" w:color="auto"/>
                            <w:bottom w:val="none" w:sz="0" w:space="0" w:color="auto"/>
                            <w:right w:val="none" w:sz="0" w:space="0" w:color="auto"/>
                          </w:divBdr>
                        </w:div>
                        <w:div w:id="709185716">
                          <w:marLeft w:val="0"/>
                          <w:marRight w:val="0"/>
                          <w:marTop w:val="0"/>
                          <w:marBottom w:val="0"/>
                          <w:divBdr>
                            <w:top w:val="none" w:sz="0" w:space="0" w:color="auto"/>
                            <w:left w:val="none" w:sz="0" w:space="0" w:color="auto"/>
                            <w:bottom w:val="none" w:sz="0" w:space="0" w:color="auto"/>
                            <w:right w:val="none" w:sz="0" w:space="0" w:color="auto"/>
                          </w:divBdr>
                        </w:div>
                        <w:div w:id="849292732">
                          <w:marLeft w:val="0"/>
                          <w:marRight w:val="0"/>
                          <w:marTop w:val="0"/>
                          <w:marBottom w:val="0"/>
                          <w:divBdr>
                            <w:top w:val="none" w:sz="0" w:space="0" w:color="auto"/>
                            <w:left w:val="none" w:sz="0" w:space="0" w:color="auto"/>
                            <w:bottom w:val="none" w:sz="0" w:space="0" w:color="auto"/>
                            <w:right w:val="none" w:sz="0" w:space="0" w:color="auto"/>
                          </w:divBdr>
                        </w:div>
                        <w:div w:id="874925567">
                          <w:marLeft w:val="0"/>
                          <w:marRight w:val="0"/>
                          <w:marTop w:val="0"/>
                          <w:marBottom w:val="0"/>
                          <w:divBdr>
                            <w:top w:val="none" w:sz="0" w:space="0" w:color="auto"/>
                            <w:left w:val="none" w:sz="0" w:space="0" w:color="auto"/>
                            <w:bottom w:val="none" w:sz="0" w:space="0" w:color="auto"/>
                            <w:right w:val="none" w:sz="0" w:space="0" w:color="auto"/>
                          </w:divBdr>
                        </w:div>
                        <w:div w:id="880630484">
                          <w:marLeft w:val="0"/>
                          <w:marRight w:val="0"/>
                          <w:marTop w:val="0"/>
                          <w:marBottom w:val="0"/>
                          <w:divBdr>
                            <w:top w:val="none" w:sz="0" w:space="0" w:color="auto"/>
                            <w:left w:val="none" w:sz="0" w:space="0" w:color="auto"/>
                            <w:bottom w:val="none" w:sz="0" w:space="0" w:color="auto"/>
                            <w:right w:val="none" w:sz="0" w:space="0" w:color="auto"/>
                          </w:divBdr>
                        </w:div>
                        <w:div w:id="1114403403">
                          <w:marLeft w:val="0"/>
                          <w:marRight w:val="0"/>
                          <w:marTop w:val="0"/>
                          <w:marBottom w:val="0"/>
                          <w:divBdr>
                            <w:top w:val="none" w:sz="0" w:space="0" w:color="auto"/>
                            <w:left w:val="none" w:sz="0" w:space="0" w:color="auto"/>
                            <w:bottom w:val="none" w:sz="0" w:space="0" w:color="auto"/>
                            <w:right w:val="none" w:sz="0" w:space="0" w:color="auto"/>
                          </w:divBdr>
                        </w:div>
                        <w:div w:id="1236433917">
                          <w:marLeft w:val="0"/>
                          <w:marRight w:val="0"/>
                          <w:marTop w:val="0"/>
                          <w:marBottom w:val="0"/>
                          <w:divBdr>
                            <w:top w:val="none" w:sz="0" w:space="0" w:color="auto"/>
                            <w:left w:val="none" w:sz="0" w:space="0" w:color="auto"/>
                            <w:bottom w:val="none" w:sz="0" w:space="0" w:color="auto"/>
                            <w:right w:val="none" w:sz="0" w:space="0" w:color="auto"/>
                          </w:divBdr>
                        </w:div>
                        <w:div w:id="15694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4682">
              <w:marLeft w:val="0"/>
              <w:marRight w:val="0"/>
              <w:marTop w:val="0"/>
              <w:marBottom w:val="0"/>
              <w:divBdr>
                <w:top w:val="none" w:sz="0" w:space="0" w:color="auto"/>
                <w:left w:val="none" w:sz="0" w:space="0" w:color="auto"/>
                <w:bottom w:val="none" w:sz="0" w:space="0" w:color="auto"/>
                <w:right w:val="none" w:sz="0" w:space="0" w:color="auto"/>
              </w:divBdr>
            </w:div>
          </w:divsChild>
        </w:div>
        <w:div w:id="1658000774">
          <w:marLeft w:val="0"/>
          <w:marRight w:val="0"/>
          <w:marTop w:val="0"/>
          <w:marBottom w:val="0"/>
          <w:divBdr>
            <w:top w:val="none" w:sz="0" w:space="0" w:color="auto"/>
            <w:left w:val="none" w:sz="0" w:space="0" w:color="auto"/>
            <w:bottom w:val="none" w:sz="0" w:space="0" w:color="auto"/>
            <w:right w:val="none" w:sz="0" w:space="0" w:color="auto"/>
          </w:divBdr>
          <w:divsChild>
            <w:div w:id="845292355">
              <w:marLeft w:val="0"/>
              <w:marRight w:val="0"/>
              <w:marTop w:val="0"/>
              <w:marBottom w:val="0"/>
              <w:divBdr>
                <w:top w:val="none" w:sz="0" w:space="0" w:color="auto"/>
                <w:left w:val="none" w:sz="0" w:space="0" w:color="auto"/>
                <w:bottom w:val="none" w:sz="0" w:space="0" w:color="auto"/>
                <w:right w:val="none" w:sz="0" w:space="0" w:color="auto"/>
              </w:divBdr>
              <w:divsChild>
                <w:div w:id="48237984">
                  <w:marLeft w:val="0"/>
                  <w:marRight w:val="0"/>
                  <w:marTop w:val="0"/>
                  <w:marBottom w:val="0"/>
                  <w:divBdr>
                    <w:top w:val="none" w:sz="0" w:space="0" w:color="auto"/>
                    <w:left w:val="none" w:sz="0" w:space="0" w:color="auto"/>
                    <w:bottom w:val="none" w:sz="0" w:space="0" w:color="auto"/>
                    <w:right w:val="none" w:sz="0" w:space="0" w:color="auto"/>
                  </w:divBdr>
                </w:div>
                <w:div w:id="18057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spergillus.org.uk/antifungal-drug-interactions/" TargetMode="External"/><Relationship Id="rId18" Type="http://schemas.openxmlformats.org/officeDocument/2006/relationships/hyperlink" Target="http://bioportal.bioontology.org/ontologies/MEDDRA/?p=summary" TargetMode="External"/><Relationship Id="rId26" Type="http://schemas.openxmlformats.org/officeDocument/2006/relationships/hyperlink" Target="mailto:qrmg@ukmi.org.uk" TargetMode="External"/><Relationship Id="rId3" Type="http://schemas.openxmlformats.org/officeDocument/2006/relationships/styles" Target="styles.xml"/><Relationship Id="rId21" Type="http://schemas.openxmlformats.org/officeDocument/2006/relationships/hyperlink" Target="https://www.sps.nhs.uk/articles/understanding-excipients-in-medicin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pe.org.uk/dispensing-and-supply/dispensing-process/drug-tariff-resources/" TargetMode="External"/><Relationship Id="rId17" Type="http://schemas.openxmlformats.org/officeDocument/2006/relationships/hyperlink" Target="http://www.meddra.org" TargetMode="External"/><Relationship Id="rId25" Type="http://schemas.openxmlformats.org/officeDocument/2006/relationships/hyperlink" Target="https://products.mhra.gov.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lm.nih.gov/bsd/difference.html" TargetMode="External"/><Relationship Id="rId20" Type="http://schemas.openxmlformats.org/officeDocument/2006/relationships/hyperlink" Target="https://www.medicinescomplete.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paonline.org/mhra-statement-on-notifying-the-bnf-of-updates-to-smpcs-and-pils/" TargetMode="External"/><Relationship Id="rId24" Type="http://schemas.openxmlformats.org/officeDocument/2006/relationships/hyperlink" Target="http://www.medicines.org.uk"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eshb.nlm.nih.gov/search" TargetMode="External"/><Relationship Id="rId23" Type="http://schemas.openxmlformats.org/officeDocument/2006/relationships/hyperlink" Target="https://www.medicines.org.uk/emc/advanced-search" TargetMode="External"/><Relationship Id="rId28" Type="http://schemas.openxmlformats.org/officeDocument/2006/relationships/header" Target="header2.xml"/><Relationship Id="rId10" Type="http://schemas.openxmlformats.org/officeDocument/2006/relationships/hyperlink" Target="https://www.ukmi.nhs.uk/Resources?ContentID=3df605e3-ec43-47b7-99ff-aabc3cd91765" TargetMode="External"/><Relationship Id="rId19" Type="http://schemas.openxmlformats.org/officeDocument/2006/relationships/hyperlink" Target="mailto:asksps.nhs@sps.direc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eb.archive.org/" TargetMode="External"/><Relationship Id="rId14" Type="http://schemas.openxmlformats.org/officeDocument/2006/relationships/hyperlink" Target="https://kemh.libguides.com/research/FAQ_Database_differences" TargetMode="External"/><Relationship Id="rId22" Type="http://schemas.openxmlformats.org/officeDocument/2006/relationships/hyperlink" Target="https://www.sps.nhs.uk/articles/searching-for-presence-or-absence-of-an-excipient-in-medicin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googleguide.com/cached_pages.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70C1-A7A6-4414-B21D-12F78F23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25958</CharactersWithSpaces>
  <SharedDoc>false</SharedDoc>
  <HLinks>
    <vt:vector size="6" baseType="variant">
      <vt:variant>
        <vt:i4>6488072</vt:i4>
      </vt:variant>
      <vt:variant>
        <vt:i4>0</vt:i4>
      </vt:variant>
      <vt:variant>
        <vt:i4>0</vt:i4>
      </vt:variant>
      <vt:variant>
        <vt:i4>5</vt:i4>
      </vt:variant>
      <vt:variant>
        <vt:lpwstr>https://www.nlm.nih.gov/bsd/uniform_requirements.html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Smith</dc:creator>
  <cp:lastModifiedBy>Charlotte Hay (BCUHB - Medicines Information)</cp:lastModifiedBy>
  <cp:revision>2</cp:revision>
  <dcterms:created xsi:type="dcterms:W3CDTF">2026-03-27T14:53:00Z</dcterms:created>
  <dcterms:modified xsi:type="dcterms:W3CDTF">2026-03-27T14:53:00Z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89b3bfb0-bff8-469f-998c-d5857a1a1b7b</vt:lpwstr>
  </property>
  <property fmtid="{D5CDD505-2E9C-101B-9397-08002B2CF9AE}" pid="3" name="GrammarlyDocumentId">
    <vt:lpwstr>149ad715-976f-40e5-bdc4-c8d9442adca7</vt:lpwstr>
  </property>
</Properties>
</file>