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CD" w:rsidRPr="006620CD" w:rsidRDefault="006620CD" w:rsidP="006620CD">
      <w:pPr>
        <w:pBdr>
          <w:bottom w:val="single" w:sz="8" w:space="4" w:color="4F81BD"/>
        </w:pBdr>
        <w:spacing w:after="300" w:line="240" w:lineRule="auto"/>
        <w:contextualSpacing/>
        <w:jc w:val="center"/>
        <w:rPr>
          <w:rFonts w:eastAsia="Times New Roman"/>
          <w:b/>
          <w:caps/>
          <w:color w:val="0070C0"/>
          <w:spacing w:val="5"/>
          <w:kern w:val="28"/>
          <w:sz w:val="52"/>
          <w:szCs w:val="52"/>
        </w:rPr>
      </w:pPr>
      <w:bookmarkStart w:id="0" w:name="_GoBack"/>
      <w:bookmarkEnd w:id="0"/>
      <w:r w:rsidRPr="006620CD">
        <w:rPr>
          <w:rFonts w:eastAsia="Times New Roman"/>
          <w:b/>
          <w:caps/>
          <w:color w:val="0070C0"/>
          <w:spacing w:val="5"/>
          <w:kern w:val="28"/>
          <w:sz w:val="52"/>
          <w:szCs w:val="52"/>
        </w:rPr>
        <w:t>Foreign Language Resources</w:t>
      </w:r>
    </w:p>
    <w:p w:rsidR="006620CD" w:rsidRPr="006620CD" w:rsidRDefault="006620CD" w:rsidP="006620CD">
      <w:pPr>
        <w:keepNext/>
        <w:keepLines/>
        <w:pBdr>
          <w:bottom w:val="single" w:sz="36" w:space="1" w:color="0070C0"/>
        </w:pBdr>
        <w:spacing w:before="480"/>
        <w:outlineLvl w:val="0"/>
        <w:rPr>
          <w:rFonts w:eastAsia="Times New Roman"/>
          <w:b/>
          <w:bCs/>
          <w:color w:val="0070C0"/>
          <w:sz w:val="36"/>
          <w:szCs w:val="20"/>
          <w:lang w:val="en-US"/>
        </w:rPr>
      </w:pPr>
      <w:r w:rsidRPr="006620CD">
        <w:rPr>
          <w:rFonts w:eastAsia="Times New Roman"/>
          <w:b/>
          <w:bCs/>
          <w:color w:val="0070C0"/>
          <w:sz w:val="36"/>
          <w:szCs w:val="28"/>
        </w:rPr>
        <w:t>Foreign Language Patient Information Leaflets</w:t>
      </w:r>
    </w:p>
    <w:p w:rsidR="006620CD" w:rsidRPr="006620CD" w:rsidRDefault="006620CD" w:rsidP="006620CD">
      <w:pPr>
        <w:spacing w:after="0" w:line="240" w:lineRule="auto"/>
        <w:rPr>
          <w:szCs w:val="20"/>
        </w:rPr>
      </w:pPr>
      <w:r w:rsidRPr="006620CD">
        <w:rPr>
          <w:szCs w:val="20"/>
        </w:rPr>
        <w:t>The following resources (in no particular order) can be useful to try and find this information:</w:t>
      </w:r>
    </w:p>
    <w:p w:rsidR="006620CD" w:rsidRPr="006620CD" w:rsidRDefault="006620CD" w:rsidP="006620CD">
      <w:pPr>
        <w:spacing w:after="0" w:line="240" w:lineRule="auto"/>
        <w:rPr>
          <w:szCs w:val="20"/>
        </w:rPr>
      </w:pPr>
    </w:p>
    <w:p w:rsidR="006620CD" w:rsidRPr="006620CD" w:rsidRDefault="006620CD" w:rsidP="006620CD">
      <w:pPr>
        <w:numPr>
          <w:ilvl w:val="0"/>
          <w:numId w:val="12"/>
        </w:numPr>
        <w:spacing w:after="0" w:line="240" w:lineRule="auto"/>
        <w:rPr>
          <w:szCs w:val="20"/>
        </w:rPr>
      </w:pPr>
      <w:r w:rsidRPr="006620CD">
        <w:rPr>
          <w:szCs w:val="20"/>
        </w:rPr>
        <w:t>Certain NHS Trusts subscribe to ‘Choice and Medication’, which provides printable leaflets in different languages for some medicines.</w:t>
      </w:r>
    </w:p>
    <w:p w:rsidR="006620CD" w:rsidRPr="006620CD" w:rsidRDefault="006620CD" w:rsidP="006620CD">
      <w:pPr>
        <w:numPr>
          <w:ilvl w:val="1"/>
          <w:numId w:val="12"/>
        </w:numPr>
        <w:spacing w:after="0" w:line="240" w:lineRule="auto"/>
        <w:rPr>
          <w:szCs w:val="20"/>
        </w:rPr>
      </w:pPr>
      <w:r w:rsidRPr="006620CD">
        <w:rPr>
          <w:szCs w:val="20"/>
        </w:rPr>
        <w:t>Under ‘What are you looking for?’ chose ‘Translated Leaflets’.</w:t>
      </w:r>
    </w:p>
    <w:p w:rsidR="006620CD" w:rsidRPr="006620CD" w:rsidRDefault="006620CD" w:rsidP="006620CD">
      <w:pPr>
        <w:numPr>
          <w:ilvl w:val="1"/>
          <w:numId w:val="12"/>
        </w:numPr>
        <w:spacing w:after="0" w:line="240" w:lineRule="auto"/>
        <w:rPr>
          <w:szCs w:val="20"/>
        </w:rPr>
      </w:pPr>
      <w:r w:rsidRPr="006620CD">
        <w:rPr>
          <w:szCs w:val="20"/>
        </w:rPr>
        <w:t>Select the language in question and click search.</w:t>
      </w:r>
    </w:p>
    <w:p w:rsidR="006620CD" w:rsidRPr="006620CD" w:rsidRDefault="006620CD" w:rsidP="006620CD">
      <w:pPr>
        <w:numPr>
          <w:ilvl w:val="1"/>
          <w:numId w:val="12"/>
        </w:numPr>
        <w:spacing w:after="0" w:line="240" w:lineRule="auto"/>
        <w:rPr>
          <w:szCs w:val="20"/>
        </w:rPr>
      </w:pPr>
      <w:r w:rsidRPr="006620CD">
        <w:rPr>
          <w:szCs w:val="20"/>
        </w:rPr>
        <w:t>A list of medications with printable leaflets in that language will be displayed.</w:t>
      </w:r>
    </w:p>
    <w:p w:rsidR="006620CD" w:rsidRPr="006620CD" w:rsidRDefault="006620CD" w:rsidP="006620CD">
      <w:pPr>
        <w:spacing w:after="0" w:line="240" w:lineRule="auto"/>
        <w:rPr>
          <w:szCs w:val="20"/>
        </w:rPr>
      </w:pPr>
    </w:p>
    <w:p w:rsidR="006620CD" w:rsidRPr="006620CD" w:rsidRDefault="006620CD" w:rsidP="006620CD">
      <w:pPr>
        <w:numPr>
          <w:ilvl w:val="0"/>
          <w:numId w:val="12"/>
        </w:numPr>
        <w:spacing w:after="0" w:line="240" w:lineRule="auto"/>
        <w:rPr>
          <w:szCs w:val="20"/>
        </w:rPr>
      </w:pPr>
      <w:r w:rsidRPr="006620CD">
        <w:rPr>
          <w:szCs w:val="20"/>
        </w:rPr>
        <w:t xml:space="preserve">EU centrally-authorised medicines should always include the approved patient information leaflet in the respective European public assessment report (EPAR), although note that many older drugs do not have an EPAR. </w:t>
      </w:r>
    </w:p>
    <w:p w:rsidR="006620CD" w:rsidRPr="006620CD" w:rsidRDefault="006620CD" w:rsidP="006620CD">
      <w:pPr>
        <w:numPr>
          <w:ilvl w:val="1"/>
          <w:numId w:val="13"/>
        </w:numPr>
        <w:spacing w:after="0" w:line="240" w:lineRule="auto"/>
        <w:rPr>
          <w:szCs w:val="20"/>
        </w:rPr>
      </w:pPr>
      <w:r w:rsidRPr="006620CD">
        <w:rPr>
          <w:szCs w:val="20"/>
        </w:rPr>
        <w:t xml:space="preserve">Go to </w:t>
      </w:r>
      <w:hyperlink r:id="rId8" w:history="1">
        <w:r w:rsidRPr="006620CD">
          <w:rPr>
            <w:color w:val="0000FF"/>
            <w:szCs w:val="20"/>
            <w:u w:val="single"/>
          </w:rPr>
          <w:t>https://www.ema.europa.eu/medicines/human</w:t>
        </w:r>
      </w:hyperlink>
      <w:r w:rsidRPr="006620CD">
        <w:rPr>
          <w:szCs w:val="20"/>
        </w:rPr>
        <w:t xml:space="preserve"> </w:t>
      </w:r>
    </w:p>
    <w:p w:rsidR="006620CD" w:rsidRPr="006620CD" w:rsidRDefault="006620CD" w:rsidP="006620CD">
      <w:pPr>
        <w:numPr>
          <w:ilvl w:val="1"/>
          <w:numId w:val="13"/>
        </w:numPr>
        <w:spacing w:after="0" w:line="240" w:lineRule="auto"/>
        <w:rPr>
          <w:szCs w:val="20"/>
        </w:rPr>
      </w:pPr>
      <w:r w:rsidRPr="006620CD">
        <w:rPr>
          <w:szCs w:val="20"/>
        </w:rPr>
        <w:t xml:space="preserve">Search for the drug in question. </w:t>
      </w:r>
    </w:p>
    <w:p w:rsidR="006620CD" w:rsidRPr="006620CD" w:rsidRDefault="006620CD" w:rsidP="006620CD">
      <w:pPr>
        <w:numPr>
          <w:ilvl w:val="1"/>
          <w:numId w:val="13"/>
        </w:numPr>
        <w:spacing w:after="0" w:line="240" w:lineRule="auto"/>
        <w:rPr>
          <w:szCs w:val="20"/>
        </w:rPr>
      </w:pPr>
      <w:r w:rsidRPr="006620CD">
        <w:rPr>
          <w:szCs w:val="20"/>
        </w:rPr>
        <w:t>Click on the link to the EPAR in the search results (if available).</w:t>
      </w:r>
    </w:p>
    <w:p w:rsidR="006620CD" w:rsidRPr="006620CD" w:rsidRDefault="006620CD" w:rsidP="006620CD">
      <w:pPr>
        <w:numPr>
          <w:ilvl w:val="1"/>
          <w:numId w:val="13"/>
        </w:numPr>
        <w:spacing w:after="0" w:line="240" w:lineRule="auto"/>
        <w:rPr>
          <w:szCs w:val="20"/>
        </w:rPr>
      </w:pPr>
      <w:r w:rsidRPr="006620CD">
        <w:rPr>
          <w:szCs w:val="20"/>
        </w:rPr>
        <w:t>Click on ‘Product Information’.</w:t>
      </w:r>
    </w:p>
    <w:p w:rsidR="006620CD" w:rsidRPr="006620CD" w:rsidRDefault="006620CD" w:rsidP="006620CD">
      <w:pPr>
        <w:numPr>
          <w:ilvl w:val="1"/>
          <w:numId w:val="13"/>
        </w:numPr>
        <w:spacing w:after="0" w:line="240" w:lineRule="auto"/>
        <w:rPr>
          <w:szCs w:val="20"/>
        </w:rPr>
      </w:pPr>
      <w:r w:rsidRPr="006620CD">
        <w:rPr>
          <w:szCs w:val="20"/>
        </w:rPr>
        <w:t>Click on ‘Available languages’ and chose the language you require.</w:t>
      </w:r>
    </w:p>
    <w:p w:rsidR="006620CD" w:rsidRPr="006620CD" w:rsidRDefault="006620CD" w:rsidP="006620CD">
      <w:pPr>
        <w:numPr>
          <w:ilvl w:val="1"/>
          <w:numId w:val="13"/>
        </w:numPr>
        <w:spacing w:after="0" w:line="240" w:lineRule="auto"/>
        <w:rPr>
          <w:szCs w:val="20"/>
        </w:rPr>
      </w:pPr>
      <w:r w:rsidRPr="006620CD">
        <w:rPr>
          <w:szCs w:val="20"/>
        </w:rPr>
        <w:t>The PIL will usually be the last section of the downloaded pdf.</w:t>
      </w:r>
    </w:p>
    <w:p w:rsidR="006620CD" w:rsidRPr="006620CD" w:rsidRDefault="006620CD" w:rsidP="006620CD">
      <w:pPr>
        <w:spacing w:after="0" w:line="240" w:lineRule="auto"/>
        <w:rPr>
          <w:szCs w:val="20"/>
        </w:rPr>
      </w:pPr>
    </w:p>
    <w:p w:rsidR="006620CD" w:rsidRPr="006620CD" w:rsidRDefault="006620CD" w:rsidP="006620CD">
      <w:pPr>
        <w:numPr>
          <w:ilvl w:val="0"/>
          <w:numId w:val="12"/>
        </w:numPr>
        <w:spacing w:after="0" w:line="240" w:lineRule="auto"/>
        <w:rPr>
          <w:szCs w:val="20"/>
        </w:rPr>
      </w:pPr>
      <w:r w:rsidRPr="006620CD">
        <w:rPr>
          <w:szCs w:val="20"/>
        </w:rPr>
        <w:t>The Heads of Medicines Agencies (HMA) is a network of the heads of the National Competent Authorities (NCA) whose organisations are responsible for the regulation of medicinal products for human and veterinary use in the European Economic Area. They provide:</w:t>
      </w:r>
    </w:p>
    <w:p w:rsidR="006620CD" w:rsidRPr="006620CD" w:rsidRDefault="006620CD" w:rsidP="006620CD">
      <w:pPr>
        <w:spacing w:after="0" w:line="240" w:lineRule="auto"/>
        <w:rPr>
          <w:szCs w:val="20"/>
        </w:rPr>
      </w:pPr>
    </w:p>
    <w:p w:rsidR="006620CD" w:rsidRPr="006620CD" w:rsidRDefault="006620CD" w:rsidP="006620CD">
      <w:pPr>
        <w:numPr>
          <w:ilvl w:val="0"/>
          <w:numId w:val="14"/>
        </w:numPr>
        <w:spacing w:after="0" w:line="240" w:lineRule="auto"/>
        <w:rPr>
          <w:szCs w:val="20"/>
        </w:rPr>
      </w:pPr>
      <w:r w:rsidRPr="006620CD">
        <w:rPr>
          <w:szCs w:val="20"/>
        </w:rPr>
        <w:t xml:space="preserve">A list of NCA websites with links to their information on authorised human medicines (if available) </w:t>
      </w:r>
      <w:hyperlink r:id="rId9" w:history="1">
        <w:r w:rsidRPr="006620CD">
          <w:rPr>
            <w:color w:val="0000FF"/>
            <w:szCs w:val="20"/>
            <w:u w:val="single"/>
          </w:rPr>
          <w:t>https://mri.cts-mrp.eu/Human/product-information</w:t>
        </w:r>
      </w:hyperlink>
      <w:r w:rsidRPr="006620CD">
        <w:rPr>
          <w:szCs w:val="20"/>
        </w:rPr>
        <w:t>, with some (not all) providing PILs (and SPCs). Some can be viewed in English making them easier to navigate, although Google translate can be used with caution for the others (see note below). Some sites are not very intuitive and it can take a bit of time to find the appropriate search page.</w:t>
      </w:r>
    </w:p>
    <w:p w:rsidR="006620CD" w:rsidRPr="006620CD" w:rsidRDefault="006620CD" w:rsidP="006620CD">
      <w:pPr>
        <w:spacing w:after="0" w:line="240" w:lineRule="auto"/>
        <w:rPr>
          <w:szCs w:val="20"/>
        </w:rPr>
      </w:pPr>
    </w:p>
    <w:p w:rsidR="006620CD" w:rsidRPr="006620CD" w:rsidRDefault="006620CD" w:rsidP="006620CD">
      <w:pPr>
        <w:numPr>
          <w:ilvl w:val="0"/>
          <w:numId w:val="14"/>
        </w:numPr>
        <w:spacing w:after="0" w:line="240" w:lineRule="auto"/>
        <w:rPr>
          <w:szCs w:val="20"/>
        </w:rPr>
      </w:pPr>
      <w:r w:rsidRPr="006620CD">
        <w:rPr>
          <w:szCs w:val="20"/>
        </w:rPr>
        <w:t>The Mutual Recognition Product Index, which includes medicines approved in the member states of the EU according to the mutual recognition or decentralised procedure</w:t>
      </w:r>
    </w:p>
    <w:p w:rsidR="006620CD" w:rsidRPr="006620CD" w:rsidRDefault="006620CD" w:rsidP="006620CD">
      <w:pPr>
        <w:numPr>
          <w:ilvl w:val="2"/>
          <w:numId w:val="12"/>
        </w:numPr>
        <w:spacing w:after="0" w:line="240" w:lineRule="auto"/>
        <w:rPr>
          <w:szCs w:val="20"/>
        </w:rPr>
      </w:pPr>
      <w:r w:rsidRPr="006620CD">
        <w:rPr>
          <w:szCs w:val="20"/>
        </w:rPr>
        <w:t xml:space="preserve">The human product list can be searched using the search box at the bottom of this webpage </w:t>
      </w:r>
      <w:hyperlink r:id="rId10" w:history="1">
        <w:r w:rsidRPr="006620CD">
          <w:rPr>
            <w:color w:val="0000FF"/>
            <w:szCs w:val="20"/>
            <w:u w:val="single"/>
          </w:rPr>
          <w:t>http://mri.cts-mrp.eu/Human</w:t>
        </w:r>
      </w:hyperlink>
      <w:r w:rsidRPr="006620CD">
        <w:rPr>
          <w:szCs w:val="20"/>
        </w:rPr>
        <w:t xml:space="preserve">. </w:t>
      </w:r>
    </w:p>
    <w:p w:rsidR="006620CD" w:rsidRPr="006620CD" w:rsidRDefault="006620CD" w:rsidP="006620CD">
      <w:pPr>
        <w:numPr>
          <w:ilvl w:val="2"/>
          <w:numId w:val="12"/>
        </w:numPr>
        <w:spacing w:after="0" w:line="240" w:lineRule="auto"/>
        <w:rPr>
          <w:szCs w:val="20"/>
        </w:rPr>
      </w:pPr>
      <w:r w:rsidRPr="006620CD">
        <w:rPr>
          <w:szCs w:val="20"/>
        </w:rPr>
        <w:t>Results can be filtered to just show PILs by checking the ‘Final PL’ box at the top of the results page.</w:t>
      </w:r>
    </w:p>
    <w:p w:rsidR="006620CD" w:rsidRPr="006620CD" w:rsidRDefault="006620CD" w:rsidP="006620CD">
      <w:pPr>
        <w:numPr>
          <w:ilvl w:val="2"/>
          <w:numId w:val="12"/>
        </w:numPr>
        <w:spacing w:after="0" w:line="240" w:lineRule="auto"/>
        <w:rPr>
          <w:szCs w:val="20"/>
        </w:rPr>
      </w:pPr>
      <w:r w:rsidRPr="006620CD">
        <w:rPr>
          <w:szCs w:val="20"/>
        </w:rPr>
        <w:t>The advanced search allows the addition of columns (e.g. pharmaceutical form) to be displayed in the results.</w:t>
      </w:r>
    </w:p>
    <w:p w:rsidR="006620CD" w:rsidRPr="006620CD" w:rsidRDefault="006620CD" w:rsidP="006620CD">
      <w:pPr>
        <w:numPr>
          <w:ilvl w:val="2"/>
          <w:numId w:val="12"/>
        </w:numPr>
        <w:spacing w:after="0" w:line="240" w:lineRule="auto"/>
        <w:rPr>
          <w:szCs w:val="20"/>
        </w:rPr>
      </w:pPr>
      <w:r w:rsidRPr="006620CD">
        <w:rPr>
          <w:szCs w:val="20"/>
        </w:rPr>
        <w:t xml:space="preserve">Note that you cannot filter for language in either search function, and the package leaflet isn’t necessarily available in languages </w:t>
      </w:r>
      <w:r w:rsidR="004556F2">
        <w:rPr>
          <w:szCs w:val="20"/>
        </w:rPr>
        <w:t xml:space="preserve">other </w:t>
      </w:r>
      <w:r w:rsidRPr="006620CD">
        <w:rPr>
          <w:szCs w:val="20"/>
        </w:rPr>
        <w:t>than English.</w:t>
      </w:r>
    </w:p>
    <w:p w:rsidR="006620CD" w:rsidRPr="006620CD" w:rsidRDefault="006620CD" w:rsidP="006620CD">
      <w:pPr>
        <w:spacing w:after="0" w:line="240" w:lineRule="auto"/>
        <w:rPr>
          <w:szCs w:val="20"/>
        </w:rPr>
      </w:pPr>
    </w:p>
    <w:p w:rsidR="006620CD" w:rsidRPr="006620CD" w:rsidRDefault="006620CD" w:rsidP="006620CD">
      <w:pPr>
        <w:numPr>
          <w:ilvl w:val="0"/>
          <w:numId w:val="12"/>
        </w:numPr>
        <w:spacing w:after="0" w:line="240" w:lineRule="auto"/>
        <w:rPr>
          <w:szCs w:val="20"/>
        </w:rPr>
      </w:pPr>
      <w:r w:rsidRPr="006620CD">
        <w:rPr>
          <w:szCs w:val="20"/>
        </w:rPr>
        <w:t>Use Martindale</w:t>
      </w:r>
      <w:r w:rsidR="004556F2">
        <w:rPr>
          <w:szCs w:val="20"/>
        </w:rPr>
        <w:t xml:space="preserve"> (subscription required)</w:t>
      </w:r>
      <w:r w:rsidRPr="006620CD">
        <w:rPr>
          <w:szCs w:val="20"/>
        </w:rPr>
        <w:t xml:space="preserve"> to find the brand name of the drug in question e.g. </w:t>
      </w:r>
      <w:proofErr w:type="spellStart"/>
      <w:r w:rsidRPr="006620CD">
        <w:rPr>
          <w:szCs w:val="20"/>
        </w:rPr>
        <w:t>Oxycardil</w:t>
      </w:r>
      <w:proofErr w:type="spellEnd"/>
      <w:r w:rsidRPr="006620CD">
        <w:rPr>
          <w:szCs w:val="20"/>
        </w:rPr>
        <w:t xml:space="preserve"> is a Polish brand of diltiazem. Then use Google Translate to find the phrase for ‘patient information leaflet’ in the language in question e.g. ‘</w:t>
      </w:r>
      <w:proofErr w:type="spellStart"/>
      <w:r w:rsidRPr="006620CD">
        <w:rPr>
          <w:szCs w:val="20"/>
        </w:rPr>
        <w:t>ulotka</w:t>
      </w:r>
      <w:proofErr w:type="spellEnd"/>
      <w:r w:rsidRPr="006620CD">
        <w:rPr>
          <w:szCs w:val="20"/>
        </w:rPr>
        <w:t xml:space="preserve"> </w:t>
      </w:r>
      <w:proofErr w:type="spellStart"/>
      <w:r w:rsidRPr="006620CD">
        <w:rPr>
          <w:szCs w:val="20"/>
        </w:rPr>
        <w:t>dla</w:t>
      </w:r>
      <w:proofErr w:type="spellEnd"/>
      <w:r w:rsidRPr="006620CD">
        <w:rPr>
          <w:szCs w:val="20"/>
        </w:rPr>
        <w:t xml:space="preserve"> </w:t>
      </w:r>
      <w:proofErr w:type="spellStart"/>
      <w:r w:rsidRPr="006620CD">
        <w:rPr>
          <w:szCs w:val="20"/>
        </w:rPr>
        <w:t>pacjenta</w:t>
      </w:r>
      <w:proofErr w:type="spellEnd"/>
      <w:r w:rsidRPr="006620CD">
        <w:rPr>
          <w:szCs w:val="20"/>
        </w:rPr>
        <w:t>’ is PIL in Polish. Use Google to search for both. This doesn’t always work, and can be labour intensive to search through the results. In addition, you obviously need to be very careful to ensure the validity of the information located.</w:t>
      </w:r>
    </w:p>
    <w:p w:rsidR="006620CD" w:rsidRPr="006620CD" w:rsidRDefault="006620CD" w:rsidP="006620CD">
      <w:pPr>
        <w:spacing w:after="0" w:line="240" w:lineRule="auto"/>
        <w:rPr>
          <w:szCs w:val="20"/>
        </w:rPr>
      </w:pPr>
    </w:p>
    <w:p w:rsidR="006620CD" w:rsidRPr="006620CD" w:rsidRDefault="006620CD" w:rsidP="006620CD">
      <w:pPr>
        <w:spacing w:after="0" w:line="240" w:lineRule="auto"/>
        <w:rPr>
          <w:szCs w:val="20"/>
        </w:rPr>
      </w:pPr>
      <w:r w:rsidRPr="006620CD">
        <w:rPr>
          <w:b/>
          <w:szCs w:val="20"/>
        </w:rPr>
        <w:t>NOTE:</w:t>
      </w:r>
      <w:r w:rsidRPr="006620CD">
        <w:rPr>
          <w:szCs w:val="20"/>
        </w:rPr>
        <w:t xml:space="preserve"> Although Google Translate is a useful resource, particularly for translating single words or simple phrases, it is not generally suitable for translating longer texts – e.g. translating an English PIL into another language – due to the inherent complexity of technical language and grammar and the need for complete accuracy in the healthcare environment [1].</w:t>
      </w:r>
    </w:p>
    <w:p w:rsidR="006620CD" w:rsidRPr="006620CD" w:rsidRDefault="006620CD" w:rsidP="006620CD">
      <w:pPr>
        <w:spacing w:after="0" w:line="240" w:lineRule="auto"/>
        <w:rPr>
          <w:szCs w:val="20"/>
        </w:rPr>
      </w:pPr>
      <w:r w:rsidRPr="006620CD">
        <w:rPr>
          <w:szCs w:val="20"/>
        </w:rPr>
        <w:lastRenderedPageBreak/>
        <w:t>It may, however, be useful to translate information from a foreign language into English, to enable pharmacy staff to check that a document in a foreign language in general says what they think it does.</w:t>
      </w:r>
    </w:p>
    <w:p w:rsidR="006620CD" w:rsidRPr="006620CD" w:rsidRDefault="006620CD" w:rsidP="006620CD">
      <w:pPr>
        <w:spacing w:after="0" w:line="240" w:lineRule="auto"/>
        <w:rPr>
          <w:szCs w:val="20"/>
        </w:rPr>
      </w:pPr>
    </w:p>
    <w:p w:rsidR="006620CD" w:rsidRPr="006620CD" w:rsidRDefault="006620CD" w:rsidP="006620CD">
      <w:pPr>
        <w:numPr>
          <w:ilvl w:val="0"/>
          <w:numId w:val="12"/>
        </w:numPr>
        <w:spacing w:after="0" w:line="240" w:lineRule="auto"/>
        <w:rPr>
          <w:szCs w:val="20"/>
        </w:rPr>
      </w:pPr>
      <w:r w:rsidRPr="006620CD">
        <w:rPr>
          <w:szCs w:val="20"/>
        </w:rPr>
        <w:t>The respective UK manufacturer can sometimes help in this situation.</w:t>
      </w:r>
    </w:p>
    <w:p w:rsidR="006620CD" w:rsidRPr="006620CD" w:rsidRDefault="006620CD" w:rsidP="006620CD">
      <w:pPr>
        <w:keepNext/>
        <w:keepLines/>
        <w:pBdr>
          <w:bottom w:val="single" w:sz="36" w:space="1" w:color="0070C0"/>
        </w:pBdr>
        <w:spacing w:before="480"/>
        <w:outlineLvl w:val="0"/>
        <w:rPr>
          <w:rFonts w:eastAsia="Times New Roman"/>
          <w:b/>
          <w:bCs/>
          <w:color w:val="0070C0"/>
          <w:sz w:val="36"/>
          <w:szCs w:val="20"/>
          <w:lang w:val="en-US"/>
        </w:rPr>
      </w:pPr>
      <w:r w:rsidRPr="006620CD">
        <w:rPr>
          <w:rFonts w:eastAsia="Times New Roman"/>
          <w:b/>
          <w:bCs/>
          <w:color w:val="0070C0"/>
          <w:sz w:val="36"/>
          <w:szCs w:val="28"/>
        </w:rPr>
        <w:t>Foreign Language Pharmacy Labels</w:t>
      </w:r>
    </w:p>
    <w:p w:rsidR="006620CD" w:rsidRPr="006620CD" w:rsidRDefault="006620CD" w:rsidP="006620CD">
      <w:pPr>
        <w:numPr>
          <w:ilvl w:val="0"/>
          <w:numId w:val="16"/>
        </w:numPr>
        <w:spacing w:after="0" w:line="240" w:lineRule="auto"/>
        <w:rPr>
          <w:szCs w:val="20"/>
        </w:rPr>
      </w:pPr>
      <w:proofErr w:type="spellStart"/>
      <w:r w:rsidRPr="006620CD">
        <w:rPr>
          <w:szCs w:val="20"/>
        </w:rPr>
        <w:t>Translabel</w:t>
      </w:r>
      <w:proofErr w:type="spellEnd"/>
      <w:r w:rsidRPr="006620CD">
        <w:rPr>
          <w:szCs w:val="20"/>
        </w:rPr>
        <w:t xml:space="preserve"> (</w:t>
      </w:r>
      <w:hyperlink r:id="rId11" w:history="1">
        <w:r w:rsidRPr="006620CD">
          <w:rPr>
            <w:color w:val="0000FF"/>
            <w:szCs w:val="20"/>
            <w:u w:val="single"/>
          </w:rPr>
          <w:t>http://www.translabel.co.uk</w:t>
        </w:r>
      </w:hyperlink>
      <w:r w:rsidRPr="006620CD">
        <w:rPr>
          <w:szCs w:val="20"/>
        </w:rPr>
        <w:t>) - See the support section for how to use, and FAQs that discuss the limitations.</w:t>
      </w:r>
    </w:p>
    <w:p w:rsidR="006620CD" w:rsidRPr="006620CD" w:rsidRDefault="006620CD" w:rsidP="006620CD">
      <w:pPr>
        <w:spacing w:after="0" w:line="240" w:lineRule="auto"/>
        <w:rPr>
          <w:szCs w:val="20"/>
        </w:rPr>
      </w:pPr>
    </w:p>
    <w:p w:rsidR="006620CD" w:rsidRPr="006620CD" w:rsidRDefault="006620CD" w:rsidP="006620CD">
      <w:pPr>
        <w:numPr>
          <w:ilvl w:val="0"/>
          <w:numId w:val="16"/>
        </w:numPr>
        <w:spacing w:after="0" w:line="240" w:lineRule="auto"/>
        <w:rPr>
          <w:szCs w:val="20"/>
        </w:rPr>
      </w:pPr>
      <w:r w:rsidRPr="006620CD">
        <w:rPr>
          <w:szCs w:val="20"/>
        </w:rPr>
        <w:t xml:space="preserve">Martindale </w:t>
      </w:r>
      <w:r w:rsidRPr="006620CD">
        <w:rPr>
          <w:szCs w:val="20"/>
          <w:lang w:val="en-US"/>
        </w:rPr>
        <w:t>(subscription required)</w:t>
      </w:r>
      <w:r w:rsidRPr="006620CD">
        <w:rPr>
          <w:szCs w:val="20"/>
        </w:rPr>
        <w:t xml:space="preserve"> has a section called ‘Pharmaceutical Terms in Various Languages’</w:t>
      </w:r>
      <w:r w:rsidRPr="006620CD">
        <w:rPr>
          <w:szCs w:val="20"/>
          <w:lang w:val="en-US"/>
        </w:rPr>
        <w:t xml:space="preserve"> </w:t>
      </w:r>
      <w:r w:rsidRPr="006620CD">
        <w:rPr>
          <w:szCs w:val="20"/>
        </w:rPr>
        <w:t>- Some of the commoner pharmaceutical forms and routes in English and a number of major European languages. It is provided as an aid to the non-native speaker in interpreting packaging, product information, or prescriptions written in another language. However caution is required, and the introduction should be read to highlight the limitations.</w:t>
      </w:r>
    </w:p>
    <w:p w:rsidR="006620CD" w:rsidRPr="006620CD" w:rsidRDefault="006620CD" w:rsidP="006620CD">
      <w:pPr>
        <w:spacing w:after="0" w:line="240" w:lineRule="auto"/>
        <w:rPr>
          <w:szCs w:val="20"/>
          <w:lang w:val="en-US"/>
        </w:rPr>
      </w:pPr>
    </w:p>
    <w:p w:rsidR="006620CD" w:rsidRPr="006620CD" w:rsidRDefault="006620CD" w:rsidP="006620CD">
      <w:pPr>
        <w:spacing w:after="0" w:line="240" w:lineRule="auto"/>
        <w:rPr>
          <w:szCs w:val="20"/>
        </w:rPr>
      </w:pPr>
      <w:r w:rsidRPr="006620CD">
        <w:rPr>
          <w:b/>
          <w:szCs w:val="20"/>
        </w:rPr>
        <w:t>NOTE:</w:t>
      </w:r>
      <w:r w:rsidRPr="006620CD">
        <w:rPr>
          <w:szCs w:val="20"/>
        </w:rPr>
        <w:t xml:space="preserve"> Before using a translation resource (such as </w:t>
      </w:r>
      <w:proofErr w:type="spellStart"/>
      <w:r w:rsidRPr="006620CD">
        <w:rPr>
          <w:szCs w:val="20"/>
        </w:rPr>
        <w:t>Translabel</w:t>
      </w:r>
      <w:proofErr w:type="spellEnd"/>
      <w:r w:rsidRPr="006620CD">
        <w:rPr>
          <w:szCs w:val="20"/>
        </w:rPr>
        <w:t xml:space="preserve">), check your organisation’s policies regarding such use; some </w:t>
      </w:r>
      <w:r w:rsidR="004556F2" w:rsidRPr="006620CD">
        <w:rPr>
          <w:szCs w:val="20"/>
        </w:rPr>
        <w:t>organi</w:t>
      </w:r>
      <w:r w:rsidR="004556F2">
        <w:rPr>
          <w:szCs w:val="20"/>
        </w:rPr>
        <w:t>s</w:t>
      </w:r>
      <w:r w:rsidR="004556F2" w:rsidRPr="006620CD">
        <w:rPr>
          <w:szCs w:val="20"/>
        </w:rPr>
        <w:t xml:space="preserve">ations </w:t>
      </w:r>
      <w:r w:rsidRPr="006620CD">
        <w:rPr>
          <w:szCs w:val="20"/>
        </w:rPr>
        <w:t xml:space="preserve">require use to be pre-approved by the </w:t>
      </w:r>
      <w:r w:rsidR="004556F2" w:rsidRPr="006620CD">
        <w:rPr>
          <w:szCs w:val="20"/>
        </w:rPr>
        <w:t>organi</w:t>
      </w:r>
      <w:r w:rsidR="004556F2">
        <w:rPr>
          <w:szCs w:val="20"/>
        </w:rPr>
        <w:t>s</w:t>
      </w:r>
      <w:r w:rsidR="004556F2" w:rsidRPr="006620CD">
        <w:rPr>
          <w:szCs w:val="20"/>
        </w:rPr>
        <w:t xml:space="preserve">ation’s </w:t>
      </w:r>
      <w:r w:rsidRPr="006620CD">
        <w:rPr>
          <w:szCs w:val="20"/>
        </w:rPr>
        <w:t>translation service. Even if this is not required, it is recommended that you check the translation by, for example:</w:t>
      </w:r>
    </w:p>
    <w:p w:rsidR="006620CD" w:rsidRPr="006620CD" w:rsidRDefault="006620CD" w:rsidP="006620CD">
      <w:pPr>
        <w:numPr>
          <w:ilvl w:val="0"/>
          <w:numId w:val="15"/>
        </w:numPr>
        <w:spacing w:after="0" w:line="240" w:lineRule="auto"/>
        <w:rPr>
          <w:szCs w:val="20"/>
        </w:rPr>
      </w:pPr>
      <w:r w:rsidRPr="006620CD">
        <w:rPr>
          <w:szCs w:val="20"/>
        </w:rPr>
        <w:t>Copying into Google Translate to translate back to English.</w:t>
      </w:r>
    </w:p>
    <w:p w:rsidR="006620CD" w:rsidRPr="006620CD" w:rsidRDefault="006620CD" w:rsidP="006620CD">
      <w:pPr>
        <w:numPr>
          <w:ilvl w:val="0"/>
          <w:numId w:val="15"/>
        </w:numPr>
        <w:spacing w:after="0" w:line="240" w:lineRule="auto"/>
        <w:rPr>
          <w:szCs w:val="20"/>
        </w:rPr>
      </w:pPr>
      <w:r w:rsidRPr="006620CD">
        <w:rPr>
          <w:szCs w:val="20"/>
        </w:rPr>
        <w:t>Asking a bilingual member of staff (or other person who speaks both languages) to confirm the accuracy of the translation.</w:t>
      </w:r>
    </w:p>
    <w:p w:rsidR="006620CD" w:rsidRPr="006620CD" w:rsidRDefault="006620CD" w:rsidP="006620CD">
      <w:pPr>
        <w:spacing w:after="0" w:line="240" w:lineRule="auto"/>
        <w:rPr>
          <w:szCs w:val="20"/>
        </w:rPr>
      </w:pPr>
    </w:p>
    <w:p w:rsidR="006620CD" w:rsidRPr="006620CD" w:rsidRDefault="006620CD" w:rsidP="006620CD">
      <w:pPr>
        <w:spacing w:after="0" w:line="240" w:lineRule="auto"/>
        <w:rPr>
          <w:szCs w:val="20"/>
        </w:rPr>
      </w:pPr>
      <w:r w:rsidRPr="006620CD">
        <w:rPr>
          <w:szCs w:val="20"/>
        </w:rPr>
        <w:t xml:space="preserve">Use of family members or bilingual staff members (who are not approved translators) to provide the initial translation may not always be appropriate [2] and generally should only take place </w:t>
      </w:r>
      <w:r w:rsidR="004556F2" w:rsidRPr="006620CD">
        <w:rPr>
          <w:szCs w:val="20"/>
        </w:rPr>
        <w:t>i</w:t>
      </w:r>
      <w:r w:rsidR="004556F2">
        <w:rPr>
          <w:szCs w:val="20"/>
        </w:rPr>
        <w:t>f</w:t>
      </w:r>
      <w:r w:rsidR="004556F2" w:rsidRPr="006620CD">
        <w:rPr>
          <w:szCs w:val="20"/>
        </w:rPr>
        <w:t xml:space="preserve"> </w:t>
      </w:r>
      <w:r w:rsidRPr="006620CD">
        <w:rPr>
          <w:szCs w:val="20"/>
        </w:rPr>
        <w:t>there is no more appropriate alternative. However, the</w:t>
      </w:r>
      <w:r>
        <w:rPr>
          <w:szCs w:val="20"/>
        </w:rPr>
        <w:t xml:space="preserve"> risks</w:t>
      </w:r>
      <w:r w:rsidRPr="006620CD">
        <w:rPr>
          <w:szCs w:val="20"/>
        </w:rPr>
        <w:t xml:space="preserve"> in asking a non-professional translator to check a translation are likely to be lower than having no check at all.</w:t>
      </w:r>
    </w:p>
    <w:p w:rsidR="006620CD" w:rsidRPr="006620CD" w:rsidRDefault="006620CD" w:rsidP="006620CD">
      <w:pPr>
        <w:keepNext/>
        <w:keepLines/>
        <w:pBdr>
          <w:bottom w:val="single" w:sz="36" w:space="1" w:color="0070C0"/>
        </w:pBdr>
        <w:spacing w:before="480"/>
        <w:outlineLvl w:val="0"/>
        <w:rPr>
          <w:rFonts w:eastAsia="Times New Roman"/>
          <w:b/>
          <w:bCs/>
          <w:color w:val="0070C0"/>
          <w:sz w:val="36"/>
          <w:szCs w:val="28"/>
        </w:rPr>
      </w:pPr>
      <w:r w:rsidRPr="006620CD">
        <w:rPr>
          <w:rFonts w:eastAsia="Times New Roman"/>
          <w:b/>
          <w:bCs/>
          <w:color w:val="0070C0"/>
          <w:sz w:val="36"/>
          <w:szCs w:val="28"/>
        </w:rPr>
        <w:t>English translations of Foreign Language Patient Information Leaflets</w:t>
      </w:r>
    </w:p>
    <w:p w:rsidR="006620CD" w:rsidRPr="006620CD" w:rsidRDefault="006620CD" w:rsidP="006620CD">
      <w:pPr>
        <w:numPr>
          <w:ilvl w:val="0"/>
          <w:numId w:val="18"/>
        </w:numPr>
        <w:spacing w:after="0" w:line="240" w:lineRule="auto"/>
        <w:rPr>
          <w:szCs w:val="20"/>
        </w:rPr>
      </w:pPr>
      <w:r w:rsidRPr="006620CD">
        <w:rPr>
          <w:szCs w:val="20"/>
        </w:rPr>
        <w:t xml:space="preserve">If the product has been imported via a specialist company (e.g. </w:t>
      </w:r>
      <w:proofErr w:type="spellStart"/>
      <w:r w:rsidRPr="006620CD">
        <w:rPr>
          <w:szCs w:val="20"/>
        </w:rPr>
        <w:t>Mawdsley</w:t>
      </w:r>
      <w:proofErr w:type="spellEnd"/>
      <w:r w:rsidRPr="006620CD">
        <w:rPr>
          <w:szCs w:val="20"/>
        </w:rPr>
        <w:t>, Durbin, IDIS etc.), they can sometimes provide an English translation of the SPC and/or PIL</w:t>
      </w:r>
    </w:p>
    <w:p w:rsidR="006620CD" w:rsidRPr="006620CD" w:rsidRDefault="006620CD" w:rsidP="006620CD">
      <w:pPr>
        <w:spacing w:after="0" w:line="240" w:lineRule="auto"/>
        <w:rPr>
          <w:szCs w:val="20"/>
        </w:rPr>
      </w:pPr>
    </w:p>
    <w:p w:rsidR="006620CD" w:rsidRPr="006620CD" w:rsidRDefault="006620CD" w:rsidP="006620CD">
      <w:pPr>
        <w:numPr>
          <w:ilvl w:val="0"/>
          <w:numId w:val="18"/>
        </w:numPr>
        <w:spacing w:after="0" w:line="240" w:lineRule="auto"/>
        <w:rPr>
          <w:szCs w:val="20"/>
        </w:rPr>
      </w:pPr>
      <w:r w:rsidRPr="006620CD">
        <w:rPr>
          <w:szCs w:val="20"/>
        </w:rPr>
        <w:t>Products that have been through the mutual recognition pathway should be listed on the</w:t>
      </w:r>
      <w:r w:rsidRPr="006620CD">
        <w:t xml:space="preserve"> </w:t>
      </w:r>
      <w:r w:rsidRPr="006620CD">
        <w:rPr>
          <w:szCs w:val="20"/>
        </w:rPr>
        <w:t>Heads of Medicines Agencies (HMA) website.</w:t>
      </w:r>
    </w:p>
    <w:p w:rsidR="006620CD" w:rsidRPr="006620CD" w:rsidRDefault="006620CD" w:rsidP="006620CD">
      <w:pPr>
        <w:numPr>
          <w:ilvl w:val="1"/>
          <w:numId w:val="12"/>
        </w:numPr>
        <w:spacing w:after="0" w:line="240" w:lineRule="auto"/>
        <w:rPr>
          <w:szCs w:val="20"/>
        </w:rPr>
      </w:pPr>
      <w:r w:rsidRPr="006620CD">
        <w:rPr>
          <w:szCs w:val="20"/>
        </w:rPr>
        <w:t xml:space="preserve">The human product list can be searched using the search box at the bottom of this webpage </w:t>
      </w:r>
      <w:hyperlink r:id="rId12" w:history="1">
        <w:r w:rsidRPr="006620CD">
          <w:rPr>
            <w:color w:val="0000FF"/>
            <w:szCs w:val="20"/>
            <w:u w:val="single"/>
          </w:rPr>
          <w:t>http://mri.cts-mrp.eu/Human</w:t>
        </w:r>
      </w:hyperlink>
      <w:r w:rsidRPr="006620CD">
        <w:rPr>
          <w:szCs w:val="20"/>
        </w:rPr>
        <w:t xml:space="preserve">. </w:t>
      </w:r>
    </w:p>
    <w:p w:rsidR="006620CD" w:rsidRPr="006620CD" w:rsidRDefault="006620CD" w:rsidP="006620CD">
      <w:pPr>
        <w:numPr>
          <w:ilvl w:val="1"/>
          <w:numId w:val="12"/>
        </w:numPr>
        <w:spacing w:after="0" w:line="240" w:lineRule="auto"/>
        <w:rPr>
          <w:szCs w:val="20"/>
        </w:rPr>
      </w:pPr>
      <w:r w:rsidRPr="006620CD">
        <w:rPr>
          <w:szCs w:val="20"/>
        </w:rPr>
        <w:t>Results can be filtered to just show PILs by checking the ‘Final PL’ box at the top of the results page.</w:t>
      </w:r>
    </w:p>
    <w:p w:rsidR="006620CD" w:rsidRPr="006620CD" w:rsidRDefault="006620CD" w:rsidP="006620CD">
      <w:pPr>
        <w:numPr>
          <w:ilvl w:val="1"/>
          <w:numId w:val="12"/>
        </w:numPr>
        <w:spacing w:after="0" w:line="240" w:lineRule="auto"/>
        <w:rPr>
          <w:szCs w:val="20"/>
        </w:rPr>
      </w:pPr>
      <w:r w:rsidRPr="006620CD">
        <w:rPr>
          <w:szCs w:val="20"/>
        </w:rPr>
        <w:t>The advanced search allows the addition of columns (e.g. pharmaceutical form) to be displayed in the results.</w:t>
      </w:r>
    </w:p>
    <w:p w:rsidR="006620CD" w:rsidRPr="006620CD" w:rsidRDefault="006620CD" w:rsidP="006620CD">
      <w:pPr>
        <w:numPr>
          <w:ilvl w:val="1"/>
          <w:numId w:val="12"/>
        </w:numPr>
        <w:spacing w:after="0" w:line="240" w:lineRule="auto"/>
        <w:rPr>
          <w:szCs w:val="20"/>
        </w:rPr>
      </w:pPr>
      <w:r w:rsidRPr="006620CD">
        <w:rPr>
          <w:szCs w:val="20"/>
        </w:rPr>
        <w:t>Note that you cannot filter for language in either search function, but the information provided for foreign products is sometimes only available in English.</w:t>
      </w:r>
    </w:p>
    <w:p w:rsidR="006620CD" w:rsidRPr="006620CD" w:rsidRDefault="006620CD" w:rsidP="006620CD">
      <w:pPr>
        <w:keepNext/>
        <w:keepLines/>
        <w:pBdr>
          <w:bottom w:val="single" w:sz="36" w:space="1" w:color="0070C0"/>
        </w:pBdr>
        <w:spacing w:before="480"/>
        <w:outlineLvl w:val="0"/>
        <w:rPr>
          <w:rFonts w:eastAsia="Times New Roman"/>
          <w:b/>
          <w:bCs/>
          <w:color w:val="0070C0"/>
          <w:sz w:val="36"/>
          <w:szCs w:val="28"/>
          <w:lang w:val="en-US"/>
        </w:rPr>
      </w:pPr>
      <w:r w:rsidRPr="006620CD">
        <w:rPr>
          <w:rFonts w:eastAsia="Times New Roman"/>
          <w:b/>
          <w:bCs/>
          <w:color w:val="0070C0"/>
          <w:sz w:val="36"/>
          <w:szCs w:val="28"/>
          <w:lang w:val="en-US"/>
        </w:rPr>
        <w:t>References</w:t>
      </w:r>
    </w:p>
    <w:p w:rsidR="006620CD" w:rsidRPr="006620CD" w:rsidRDefault="006620CD" w:rsidP="006620CD">
      <w:pPr>
        <w:numPr>
          <w:ilvl w:val="0"/>
          <w:numId w:val="17"/>
        </w:numPr>
        <w:spacing w:after="0" w:line="240" w:lineRule="auto"/>
        <w:rPr>
          <w:szCs w:val="20"/>
        </w:rPr>
      </w:pPr>
      <w:r w:rsidRPr="006620CD">
        <w:rPr>
          <w:szCs w:val="20"/>
        </w:rPr>
        <w:t>Chen X, Acosta S, Barry AE. Evaluating the Accuracy of Google Translate for Diabetes Education Material. JMIR Diabetes. 2016</w:t>
      </w:r>
      <w:proofErr w:type="gramStart"/>
      <w:r w:rsidRPr="006620CD">
        <w:rPr>
          <w:szCs w:val="20"/>
        </w:rPr>
        <w:t>;1</w:t>
      </w:r>
      <w:proofErr w:type="gramEnd"/>
      <w:r w:rsidRPr="006620CD">
        <w:rPr>
          <w:szCs w:val="20"/>
        </w:rPr>
        <w:t>(1):e3.</w:t>
      </w:r>
    </w:p>
    <w:p w:rsidR="006620CD" w:rsidRPr="006620CD" w:rsidRDefault="006620CD" w:rsidP="006620CD">
      <w:pPr>
        <w:numPr>
          <w:ilvl w:val="0"/>
          <w:numId w:val="17"/>
        </w:numPr>
        <w:spacing w:after="0" w:line="240" w:lineRule="auto"/>
        <w:rPr>
          <w:szCs w:val="20"/>
          <w:lang w:val="en-US"/>
        </w:rPr>
      </w:pPr>
      <w:r w:rsidRPr="006620CD">
        <w:rPr>
          <w:szCs w:val="20"/>
        </w:rPr>
        <w:lastRenderedPageBreak/>
        <w:t xml:space="preserve">Flores G, Laws MB, Mayo SJ, Zuckerman B, Abreu M, Medina L, et al. Errors in medical interpretation and their potential clinical consequences in </w:t>
      </w:r>
      <w:proofErr w:type="spellStart"/>
      <w:r w:rsidRPr="006620CD">
        <w:rPr>
          <w:szCs w:val="20"/>
        </w:rPr>
        <w:t>pediatric</w:t>
      </w:r>
      <w:proofErr w:type="spellEnd"/>
      <w:r w:rsidRPr="006620CD">
        <w:rPr>
          <w:szCs w:val="20"/>
        </w:rPr>
        <w:t xml:space="preserve"> encounters. </w:t>
      </w:r>
      <w:proofErr w:type="spellStart"/>
      <w:r w:rsidRPr="006620CD">
        <w:rPr>
          <w:szCs w:val="20"/>
        </w:rPr>
        <w:t>Pediatrics</w:t>
      </w:r>
      <w:proofErr w:type="spellEnd"/>
      <w:r w:rsidRPr="006620CD">
        <w:rPr>
          <w:szCs w:val="20"/>
        </w:rPr>
        <w:t>. 2003 Jan</w:t>
      </w:r>
      <w:proofErr w:type="gramStart"/>
      <w:r w:rsidRPr="006620CD">
        <w:rPr>
          <w:szCs w:val="20"/>
        </w:rPr>
        <w:t>;111</w:t>
      </w:r>
      <w:proofErr w:type="gramEnd"/>
      <w:r w:rsidRPr="006620CD">
        <w:rPr>
          <w:szCs w:val="20"/>
        </w:rPr>
        <w:t>(1):6–14.</w:t>
      </w:r>
    </w:p>
    <w:p w:rsidR="006620CD" w:rsidRPr="006620CD" w:rsidRDefault="006620CD" w:rsidP="006620CD">
      <w:pPr>
        <w:keepNext/>
        <w:keepLines/>
        <w:pBdr>
          <w:bottom w:val="single" w:sz="36" w:space="1" w:color="0070C0"/>
        </w:pBdr>
        <w:spacing w:before="480"/>
        <w:outlineLvl w:val="0"/>
        <w:rPr>
          <w:rFonts w:eastAsia="Times New Roman" w:cs="Arial"/>
          <w:b/>
          <w:bCs/>
          <w:color w:val="0070C0"/>
          <w:sz w:val="36"/>
          <w:szCs w:val="28"/>
        </w:rPr>
      </w:pPr>
      <w:r w:rsidRPr="006620CD">
        <w:rPr>
          <w:rFonts w:eastAsia="Times New Roman" w:cs="Arial"/>
          <w:b/>
          <w:bCs/>
          <w:color w:val="0070C0"/>
          <w:sz w:val="36"/>
          <w:szCs w:val="28"/>
        </w:rPr>
        <w:t>Disclaimer</w:t>
      </w:r>
    </w:p>
    <w:p w:rsidR="006620CD" w:rsidRPr="006620CD" w:rsidRDefault="006620CD" w:rsidP="006620CD">
      <w:pPr>
        <w:rPr>
          <w:rFonts w:cs="Arial"/>
          <w:szCs w:val="20"/>
        </w:rPr>
      </w:pPr>
      <w:r w:rsidRPr="006620CD">
        <w:rPr>
          <w:rFonts w:cs="Arial"/>
          <w:szCs w:val="20"/>
        </w:rPr>
        <w:t>You should always consult local policies and/or guidance. This document is intended to supplement these, not to replace them.</w:t>
      </w:r>
    </w:p>
    <w:p w:rsidR="006620CD" w:rsidRPr="006620CD" w:rsidRDefault="006620CD" w:rsidP="006620CD">
      <w:pPr>
        <w:rPr>
          <w:rFonts w:cs="Arial"/>
          <w:szCs w:val="20"/>
        </w:rPr>
      </w:pPr>
      <w:r w:rsidRPr="006620CD">
        <w:rPr>
          <w:rFonts w:cs="Arial"/>
          <w:szCs w:val="20"/>
        </w:rPr>
        <w:t>The information and opinion in this document are general information. The information and opinion are not legal advice, and should not be treated as such.</w:t>
      </w:r>
    </w:p>
    <w:p w:rsidR="006620CD" w:rsidRPr="006620CD" w:rsidRDefault="006620CD" w:rsidP="006620CD">
      <w:pPr>
        <w:rPr>
          <w:rFonts w:cs="Arial"/>
          <w:szCs w:val="20"/>
        </w:rPr>
      </w:pPr>
      <w:r w:rsidRPr="006620CD">
        <w:rPr>
          <w:rFonts w:cs="Arial"/>
          <w:szCs w:val="20"/>
        </w:rPr>
        <w:t>The information is provided without any representations or warranties, either express or implied.</w:t>
      </w:r>
    </w:p>
    <w:p w:rsidR="006620CD" w:rsidRPr="006620CD" w:rsidRDefault="006620CD" w:rsidP="006620CD">
      <w:pPr>
        <w:rPr>
          <w:rFonts w:cs="Arial"/>
          <w:szCs w:val="20"/>
        </w:rPr>
      </w:pPr>
      <w:r w:rsidRPr="006620CD">
        <w:rPr>
          <w:rFonts w:cs="Arial"/>
          <w:szCs w:val="20"/>
        </w:rPr>
        <w:t>Although we have attempted to ensure that the information and opinion are true, accurate, complete, current and non-misleading, to the best of our ability, we do not warrant that we have succeeded.</w:t>
      </w:r>
    </w:p>
    <w:p w:rsidR="006620CD" w:rsidRPr="006620CD" w:rsidRDefault="006620CD" w:rsidP="006620CD">
      <w:pPr>
        <w:rPr>
          <w:rFonts w:cs="Arial"/>
          <w:szCs w:val="20"/>
        </w:rPr>
      </w:pPr>
      <w:r w:rsidRPr="006620CD">
        <w:rPr>
          <w:rFonts w:cs="Arial"/>
          <w:szCs w:val="20"/>
        </w:rPr>
        <w:t>You must not rely on this document as an alternative to legal advice from a legal professional.</w:t>
      </w:r>
    </w:p>
    <w:p w:rsidR="006620CD" w:rsidRPr="006620CD" w:rsidRDefault="006620CD" w:rsidP="006620CD">
      <w:pPr>
        <w:rPr>
          <w:rFonts w:cs="Arial"/>
          <w:szCs w:val="20"/>
        </w:rPr>
      </w:pPr>
      <w:r w:rsidRPr="006620CD">
        <w:rPr>
          <w:rFonts w:cs="Arial"/>
          <w:szCs w:val="20"/>
        </w:rPr>
        <w:t>If you have any specific questions about a legal matter, you should contact your legal services provider.</w:t>
      </w:r>
    </w:p>
    <w:p w:rsidR="006620CD" w:rsidRPr="006620CD" w:rsidRDefault="006620CD" w:rsidP="006620CD">
      <w:pPr>
        <w:rPr>
          <w:rFonts w:cs="Arial"/>
          <w:szCs w:val="20"/>
        </w:rPr>
      </w:pPr>
      <w:r w:rsidRPr="006620CD">
        <w:rPr>
          <w:rFonts w:cs="Arial"/>
          <w:szCs w:val="20"/>
        </w:rPr>
        <w:t>Nothing in this disclaimer will:</w:t>
      </w:r>
    </w:p>
    <w:p w:rsidR="006620CD" w:rsidRPr="006620CD" w:rsidRDefault="006620CD" w:rsidP="006620CD">
      <w:pPr>
        <w:numPr>
          <w:ilvl w:val="0"/>
          <w:numId w:val="11"/>
        </w:numPr>
        <w:spacing w:before="120" w:after="0"/>
        <w:contextualSpacing/>
        <w:jc w:val="both"/>
        <w:rPr>
          <w:rFonts w:cs="Arial"/>
        </w:rPr>
      </w:pPr>
      <w:r w:rsidRPr="006620CD">
        <w:rPr>
          <w:rFonts w:cs="Arial"/>
        </w:rPr>
        <w:t>Limit or exclude any liability for death or personal injury resulting from negligence;</w:t>
      </w:r>
    </w:p>
    <w:p w:rsidR="006620CD" w:rsidRPr="006620CD" w:rsidRDefault="006620CD" w:rsidP="006620CD">
      <w:pPr>
        <w:numPr>
          <w:ilvl w:val="0"/>
          <w:numId w:val="11"/>
        </w:numPr>
        <w:spacing w:before="120" w:after="0"/>
        <w:contextualSpacing/>
        <w:jc w:val="both"/>
        <w:rPr>
          <w:rFonts w:cs="Arial"/>
        </w:rPr>
      </w:pPr>
      <w:r w:rsidRPr="006620CD">
        <w:rPr>
          <w:rFonts w:cs="Arial"/>
        </w:rPr>
        <w:t>Limit or exclude any liability for fraud or fraudulent misrepresentation;</w:t>
      </w:r>
    </w:p>
    <w:p w:rsidR="006620CD" w:rsidRPr="006620CD" w:rsidRDefault="006620CD" w:rsidP="006620CD">
      <w:pPr>
        <w:numPr>
          <w:ilvl w:val="0"/>
          <w:numId w:val="11"/>
        </w:numPr>
        <w:spacing w:before="120" w:after="0"/>
        <w:contextualSpacing/>
        <w:jc w:val="both"/>
        <w:rPr>
          <w:rFonts w:cs="Arial"/>
        </w:rPr>
      </w:pPr>
      <w:r w:rsidRPr="006620CD">
        <w:rPr>
          <w:rFonts w:cs="Arial"/>
        </w:rPr>
        <w:t>Limit or exclude any liabilities in any way that is not permitted under applicable law.</w:t>
      </w:r>
    </w:p>
    <w:p w:rsidR="006620CD" w:rsidRPr="006620CD" w:rsidRDefault="006620CD" w:rsidP="006620CD">
      <w:pPr>
        <w:keepNext/>
        <w:keepLines/>
        <w:pBdr>
          <w:bottom w:val="single" w:sz="36" w:space="1" w:color="0070C0"/>
        </w:pBdr>
        <w:spacing w:before="480"/>
        <w:outlineLvl w:val="0"/>
        <w:rPr>
          <w:rFonts w:eastAsia="Times New Roman"/>
          <w:b/>
          <w:bCs/>
          <w:color w:val="0070C0"/>
          <w:sz w:val="36"/>
          <w:szCs w:val="28"/>
        </w:rPr>
      </w:pPr>
      <w:r w:rsidRPr="006620CD">
        <w:rPr>
          <w:rFonts w:eastAsia="Times New Roman"/>
          <w:b/>
          <w:bCs/>
          <w:color w:val="0070C0"/>
          <w:sz w:val="36"/>
          <w:szCs w:val="28"/>
        </w:rPr>
        <w:t>Author</w:t>
      </w:r>
    </w:p>
    <w:p w:rsidR="006620CD" w:rsidRPr="006620CD" w:rsidRDefault="006620CD" w:rsidP="006620CD">
      <w:pPr>
        <w:spacing w:after="0" w:line="240" w:lineRule="auto"/>
        <w:rPr>
          <w:rFonts w:cs="Arial"/>
          <w:szCs w:val="20"/>
          <w:lang w:eastAsia="en-GB"/>
        </w:rPr>
      </w:pPr>
      <w:r w:rsidRPr="006620CD">
        <w:rPr>
          <w:rFonts w:cs="Arial"/>
          <w:bCs/>
          <w:szCs w:val="20"/>
          <w:lang w:eastAsia="en-GB"/>
        </w:rPr>
        <w:t>Jonathan Hall</w:t>
      </w:r>
    </w:p>
    <w:p w:rsidR="006620CD" w:rsidRPr="006620CD" w:rsidRDefault="006620CD" w:rsidP="006620CD">
      <w:pPr>
        <w:spacing w:after="0" w:line="240" w:lineRule="auto"/>
        <w:rPr>
          <w:rFonts w:cs="Arial"/>
          <w:szCs w:val="20"/>
          <w:lang w:eastAsia="en-GB"/>
        </w:rPr>
      </w:pPr>
      <w:r w:rsidRPr="006620CD">
        <w:rPr>
          <w:rFonts w:cs="Arial"/>
          <w:bCs/>
          <w:szCs w:val="20"/>
          <w:lang w:eastAsia="en-GB"/>
        </w:rPr>
        <w:t>Principal Clinical Advice Pharmacist</w:t>
      </w:r>
    </w:p>
    <w:p w:rsidR="006620CD" w:rsidRPr="006620CD" w:rsidRDefault="006620CD" w:rsidP="006620CD">
      <w:pPr>
        <w:spacing w:after="0" w:line="240" w:lineRule="auto"/>
        <w:rPr>
          <w:rFonts w:cs="Arial"/>
          <w:szCs w:val="20"/>
          <w:lang w:eastAsia="en-GB"/>
        </w:rPr>
      </w:pPr>
      <w:r w:rsidRPr="006620CD">
        <w:rPr>
          <w:rFonts w:cs="Arial"/>
          <w:bCs/>
          <w:szCs w:val="20"/>
          <w:lang w:eastAsia="en-GB"/>
        </w:rPr>
        <w:t>Southampton Medicines Advice Service</w:t>
      </w:r>
    </w:p>
    <w:p w:rsidR="006620CD" w:rsidRPr="006620CD" w:rsidRDefault="006620CD" w:rsidP="006620CD">
      <w:pPr>
        <w:spacing w:after="0" w:line="240" w:lineRule="auto"/>
        <w:rPr>
          <w:rFonts w:cs="Arial"/>
          <w:szCs w:val="20"/>
          <w:lang w:eastAsia="en-GB"/>
        </w:rPr>
      </w:pPr>
      <w:r w:rsidRPr="006620CD">
        <w:rPr>
          <w:rFonts w:cs="Arial"/>
          <w:bCs/>
          <w:szCs w:val="20"/>
          <w:lang w:eastAsia="en-GB"/>
        </w:rPr>
        <w:t>University Hospital Southampton NHS Foundation Trust</w:t>
      </w:r>
    </w:p>
    <w:p w:rsidR="006620CD" w:rsidRPr="006620CD" w:rsidRDefault="006620CD" w:rsidP="006620CD">
      <w:pPr>
        <w:spacing w:after="0" w:line="240" w:lineRule="auto"/>
        <w:rPr>
          <w:rFonts w:cs="Arial"/>
          <w:szCs w:val="20"/>
          <w:lang w:eastAsia="en-GB"/>
        </w:rPr>
      </w:pPr>
      <w:r w:rsidRPr="006620CD">
        <w:rPr>
          <w:rFonts w:cs="Arial"/>
          <w:szCs w:val="20"/>
          <w:lang w:eastAsia="en-GB"/>
        </w:rPr>
        <w:t>SO16 6YD</w:t>
      </w:r>
    </w:p>
    <w:p w:rsidR="006D4838" w:rsidRPr="006620CD" w:rsidRDefault="006D4838" w:rsidP="006620CD"/>
    <w:sectPr w:rsidR="006D4838" w:rsidRPr="006620CD" w:rsidSect="0057586D">
      <w:headerReference w:type="default" r:id="rId13"/>
      <w:footerReference w:type="default" r:id="rId14"/>
      <w:headerReference w:type="firs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4F4" w:rsidRDefault="009274F4" w:rsidP="00B2372E">
      <w:pPr>
        <w:spacing w:after="0" w:line="240" w:lineRule="auto"/>
      </w:pPr>
      <w:r>
        <w:separator/>
      </w:r>
    </w:p>
  </w:endnote>
  <w:endnote w:type="continuationSeparator" w:id="0">
    <w:p w:rsidR="009274F4" w:rsidRDefault="009274F4" w:rsidP="00B2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526"/>
      <w:gridCol w:w="6946"/>
      <w:gridCol w:w="1490"/>
    </w:tblGrid>
    <w:tr w:rsidR="006620CD" w:rsidRPr="00AB3776" w:rsidTr="001B4AF1">
      <w:tc>
        <w:tcPr>
          <w:tcW w:w="1526" w:type="dxa"/>
          <w:shd w:val="clear" w:color="auto" w:fill="auto"/>
        </w:tcPr>
        <w:p w:rsidR="006620CD" w:rsidRPr="006620CD" w:rsidRDefault="006620CD" w:rsidP="002C5ACD">
          <w:pPr>
            <w:pStyle w:val="Footer"/>
          </w:pPr>
          <w:r w:rsidRPr="006620CD">
            <w:rPr>
              <w:noProof/>
              <w:lang w:eastAsia="en-GB"/>
            </w:rPr>
            <mc:AlternateContent>
              <mc:Choice Requires="wps">
                <w:drawing>
                  <wp:anchor distT="4294967295" distB="4294967295" distL="114300" distR="114300" simplePos="0" relativeHeight="251660800" behindDoc="0" locked="0" layoutInCell="1" allowOverlap="1" wp14:anchorId="30222C74" wp14:editId="2A102268">
                    <wp:simplePos x="0" y="0"/>
                    <wp:positionH relativeFrom="column">
                      <wp:posOffset>12700</wp:posOffset>
                    </wp:positionH>
                    <wp:positionV relativeFrom="paragraph">
                      <wp:posOffset>-189231</wp:posOffset>
                    </wp:positionV>
                    <wp:extent cx="61976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7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1BD367" id="Straight Connector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9pt" to="48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" strokecolor="#0070c0" strokeweight="1.5pt">
                    <o:lock v:ext="edit" shapetype="f"/>
                  </v:line>
                </w:pict>
              </mc:Fallback>
            </mc:AlternateContent>
          </w:r>
          <w:r w:rsidRPr="006620CD">
            <w:rPr>
              <w:b/>
            </w:rPr>
            <w:t>Version:</w:t>
          </w:r>
          <w:r w:rsidRPr="006620CD">
            <w:t xml:space="preserve"> 1.0</w:t>
          </w:r>
        </w:p>
      </w:tc>
      <w:tc>
        <w:tcPr>
          <w:tcW w:w="6946" w:type="dxa"/>
          <w:shd w:val="clear" w:color="auto" w:fill="auto"/>
        </w:tcPr>
        <w:p w:rsidR="006620CD" w:rsidRPr="006620CD" w:rsidRDefault="006620CD" w:rsidP="002C5ACD">
          <w:pPr>
            <w:pStyle w:val="Footer"/>
            <w:jc w:val="center"/>
          </w:pPr>
          <w:r w:rsidRPr="006620CD">
            <w:rPr>
              <w:b/>
            </w:rPr>
            <w:t>Date of Preparation:</w:t>
          </w:r>
          <w:r w:rsidRPr="006620CD">
            <w:t xml:space="preserve"> Nov 2019      </w:t>
          </w:r>
          <w:r w:rsidRPr="006620CD">
            <w:rPr>
              <w:b/>
            </w:rPr>
            <w:t xml:space="preserve">Date for Review: </w:t>
          </w:r>
          <w:r w:rsidRPr="006620CD">
            <w:t>Nov 2022</w:t>
          </w:r>
        </w:p>
      </w:tc>
      <w:tc>
        <w:tcPr>
          <w:tcW w:w="1490" w:type="dxa"/>
          <w:shd w:val="clear" w:color="auto" w:fill="auto"/>
        </w:tcPr>
        <w:p w:rsidR="006620CD" w:rsidRPr="00AB3776" w:rsidRDefault="006620CD" w:rsidP="001B4AF1">
          <w:pPr>
            <w:pStyle w:val="Footer"/>
            <w:jc w:val="right"/>
          </w:pPr>
          <w:r w:rsidRPr="001B4AF1">
            <w:rPr>
              <w:b/>
            </w:rPr>
            <w:t xml:space="preserve">Page </w:t>
          </w:r>
          <w:r w:rsidRPr="001B4AF1">
            <w:rPr>
              <w:b/>
              <w:bCs/>
              <w:sz w:val="24"/>
              <w:szCs w:val="24"/>
            </w:rPr>
            <w:fldChar w:fldCharType="begin"/>
          </w:r>
          <w:r w:rsidRPr="001B4AF1">
            <w:rPr>
              <w:b/>
              <w:bCs/>
            </w:rPr>
            <w:instrText xml:space="preserve"> PAGE </w:instrText>
          </w:r>
          <w:r w:rsidRPr="001B4AF1">
            <w:rPr>
              <w:b/>
              <w:bCs/>
              <w:sz w:val="24"/>
              <w:szCs w:val="24"/>
            </w:rPr>
            <w:fldChar w:fldCharType="separate"/>
          </w:r>
          <w:r w:rsidR="005D7191">
            <w:rPr>
              <w:b/>
              <w:bCs/>
              <w:noProof/>
            </w:rPr>
            <w:t>3</w:t>
          </w:r>
          <w:r w:rsidRPr="001B4AF1">
            <w:rPr>
              <w:b/>
              <w:bCs/>
              <w:sz w:val="24"/>
              <w:szCs w:val="24"/>
            </w:rPr>
            <w:fldChar w:fldCharType="end"/>
          </w:r>
          <w:r w:rsidRPr="00AB3776">
            <w:t xml:space="preserve"> of </w:t>
          </w:r>
          <w:r w:rsidRPr="001B4AF1">
            <w:rPr>
              <w:b/>
              <w:bCs/>
              <w:sz w:val="24"/>
              <w:szCs w:val="24"/>
            </w:rPr>
            <w:fldChar w:fldCharType="begin"/>
          </w:r>
          <w:r w:rsidRPr="001B4AF1">
            <w:rPr>
              <w:b/>
              <w:bCs/>
            </w:rPr>
            <w:instrText xml:space="preserve"> NUMPAGES  </w:instrText>
          </w:r>
          <w:r w:rsidRPr="001B4AF1">
            <w:rPr>
              <w:b/>
              <w:bCs/>
              <w:sz w:val="24"/>
              <w:szCs w:val="24"/>
            </w:rPr>
            <w:fldChar w:fldCharType="separate"/>
          </w:r>
          <w:r w:rsidR="005D7191">
            <w:rPr>
              <w:b/>
              <w:bCs/>
              <w:noProof/>
            </w:rPr>
            <w:t>3</w:t>
          </w:r>
          <w:r w:rsidRPr="001B4AF1">
            <w:rPr>
              <w:b/>
              <w:bCs/>
              <w:sz w:val="24"/>
              <w:szCs w:val="24"/>
            </w:rPr>
            <w:fldChar w:fldCharType="end"/>
          </w:r>
        </w:p>
      </w:tc>
    </w:tr>
  </w:tbl>
  <w:p w:rsidR="00B2372E" w:rsidRDefault="00B237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526"/>
      <w:gridCol w:w="6946"/>
      <w:gridCol w:w="1490"/>
    </w:tblGrid>
    <w:tr w:rsidR="006620CD" w:rsidRPr="006620CD" w:rsidTr="001B4AF1">
      <w:tc>
        <w:tcPr>
          <w:tcW w:w="1526" w:type="dxa"/>
          <w:shd w:val="clear" w:color="auto" w:fill="auto"/>
        </w:tcPr>
        <w:p w:rsidR="00F66594" w:rsidRPr="006620CD" w:rsidRDefault="00FD0C42" w:rsidP="00D062F7">
          <w:pPr>
            <w:pStyle w:val="Footer"/>
          </w:pPr>
          <w:r w:rsidRPr="006620CD">
            <w:rPr>
              <w:noProof/>
              <w:lang w:eastAsia="en-GB"/>
            </w:rPr>
            <mc:AlternateContent>
              <mc:Choice Requires="wps">
                <w:drawing>
                  <wp:anchor distT="4294967295" distB="4294967295" distL="114300" distR="114300" simplePos="0" relativeHeight="251657728" behindDoc="0" locked="0" layoutInCell="1" allowOverlap="1" wp14:anchorId="7B3343FB" wp14:editId="78C3F894">
                    <wp:simplePos x="0" y="0"/>
                    <wp:positionH relativeFrom="column">
                      <wp:posOffset>12700</wp:posOffset>
                    </wp:positionH>
                    <wp:positionV relativeFrom="paragraph">
                      <wp:posOffset>-189231</wp:posOffset>
                    </wp:positionV>
                    <wp:extent cx="61976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7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17F919"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9pt" to="48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" strokecolor="#0070c0" strokeweight="1.5pt">
                    <o:lock v:ext="edit" shapetype="f"/>
                  </v:line>
                </w:pict>
              </mc:Fallback>
            </mc:AlternateContent>
          </w:r>
          <w:r w:rsidR="00F66594" w:rsidRPr="006620CD">
            <w:rPr>
              <w:b/>
            </w:rPr>
            <w:t>Version:</w:t>
          </w:r>
          <w:r w:rsidR="00F66594" w:rsidRPr="006620CD">
            <w:t xml:space="preserve"> 1.0</w:t>
          </w:r>
        </w:p>
      </w:tc>
      <w:tc>
        <w:tcPr>
          <w:tcW w:w="6946" w:type="dxa"/>
          <w:shd w:val="clear" w:color="auto" w:fill="auto"/>
        </w:tcPr>
        <w:p w:rsidR="00F66594" w:rsidRPr="006620CD" w:rsidRDefault="00F66594" w:rsidP="001B4AF1">
          <w:pPr>
            <w:pStyle w:val="Footer"/>
            <w:jc w:val="center"/>
          </w:pPr>
          <w:r w:rsidRPr="006620CD">
            <w:rPr>
              <w:b/>
            </w:rPr>
            <w:t>Date of Preparation:</w:t>
          </w:r>
          <w:r w:rsidRPr="006620CD">
            <w:t xml:space="preserve"> </w:t>
          </w:r>
          <w:r w:rsidR="006620CD" w:rsidRPr="006620CD">
            <w:t>Nov 2019</w:t>
          </w:r>
          <w:r w:rsidRPr="006620CD">
            <w:t xml:space="preserve">      </w:t>
          </w:r>
          <w:r w:rsidRPr="006620CD">
            <w:rPr>
              <w:b/>
            </w:rPr>
            <w:t xml:space="preserve">Date for Review: </w:t>
          </w:r>
          <w:r w:rsidR="006620CD" w:rsidRPr="006620CD">
            <w:t>Nov 2022</w:t>
          </w:r>
        </w:p>
      </w:tc>
      <w:tc>
        <w:tcPr>
          <w:tcW w:w="1490" w:type="dxa"/>
          <w:shd w:val="clear" w:color="auto" w:fill="auto"/>
        </w:tcPr>
        <w:p w:rsidR="00F66594" w:rsidRPr="006620CD" w:rsidRDefault="00F66594" w:rsidP="001B4AF1">
          <w:pPr>
            <w:pStyle w:val="Footer"/>
            <w:jc w:val="right"/>
          </w:pPr>
          <w:r w:rsidRPr="006620CD">
            <w:rPr>
              <w:b/>
            </w:rPr>
            <w:t xml:space="preserve">Page </w:t>
          </w:r>
          <w:r w:rsidRPr="006620CD">
            <w:rPr>
              <w:b/>
              <w:bCs/>
              <w:sz w:val="24"/>
              <w:szCs w:val="24"/>
            </w:rPr>
            <w:fldChar w:fldCharType="begin"/>
          </w:r>
          <w:r w:rsidRPr="006620CD">
            <w:rPr>
              <w:b/>
              <w:bCs/>
            </w:rPr>
            <w:instrText xml:space="preserve"> PAGE </w:instrText>
          </w:r>
          <w:r w:rsidRPr="006620CD">
            <w:rPr>
              <w:b/>
              <w:bCs/>
              <w:sz w:val="24"/>
              <w:szCs w:val="24"/>
            </w:rPr>
            <w:fldChar w:fldCharType="separate"/>
          </w:r>
          <w:r w:rsidR="005D7191">
            <w:rPr>
              <w:b/>
              <w:bCs/>
              <w:noProof/>
            </w:rPr>
            <w:t>1</w:t>
          </w:r>
          <w:r w:rsidRPr="006620CD">
            <w:rPr>
              <w:b/>
              <w:bCs/>
              <w:sz w:val="24"/>
              <w:szCs w:val="24"/>
            </w:rPr>
            <w:fldChar w:fldCharType="end"/>
          </w:r>
          <w:r w:rsidRPr="006620CD">
            <w:t xml:space="preserve"> of </w:t>
          </w:r>
          <w:r w:rsidRPr="006620CD">
            <w:rPr>
              <w:b/>
              <w:bCs/>
              <w:sz w:val="24"/>
              <w:szCs w:val="24"/>
            </w:rPr>
            <w:fldChar w:fldCharType="begin"/>
          </w:r>
          <w:r w:rsidRPr="006620CD">
            <w:rPr>
              <w:b/>
              <w:bCs/>
            </w:rPr>
            <w:instrText xml:space="preserve"> NUMPAGES  </w:instrText>
          </w:r>
          <w:r w:rsidRPr="006620CD">
            <w:rPr>
              <w:b/>
              <w:bCs/>
              <w:sz w:val="24"/>
              <w:szCs w:val="24"/>
            </w:rPr>
            <w:fldChar w:fldCharType="separate"/>
          </w:r>
          <w:r w:rsidR="005D7191">
            <w:rPr>
              <w:b/>
              <w:bCs/>
              <w:noProof/>
            </w:rPr>
            <w:t>3</w:t>
          </w:r>
          <w:r w:rsidRPr="006620CD">
            <w:rPr>
              <w:b/>
              <w:bCs/>
              <w:sz w:val="24"/>
              <w:szCs w:val="24"/>
            </w:rPr>
            <w:fldChar w:fldCharType="end"/>
          </w:r>
        </w:p>
      </w:tc>
    </w:tr>
  </w:tbl>
  <w:p w:rsidR="00F66594" w:rsidRDefault="00F66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4F4" w:rsidRDefault="009274F4" w:rsidP="00B2372E">
      <w:pPr>
        <w:spacing w:after="0" w:line="240" w:lineRule="auto"/>
      </w:pPr>
      <w:r>
        <w:separator/>
      </w:r>
    </w:p>
  </w:footnote>
  <w:footnote w:type="continuationSeparator" w:id="0">
    <w:p w:rsidR="009274F4" w:rsidRDefault="009274F4" w:rsidP="00B23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2E" w:rsidRPr="00F66594" w:rsidRDefault="00F66594" w:rsidP="00F66594">
    <w:pPr>
      <w:jc w:val="center"/>
      <w:rPr>
        <w:b/>
        <w:color w:val="0070C0"/>
        <w:sz w:val="24"/>
      </w:rPr>
    </w:pPr>
    <w:r w:rsidRPr="00F66594">
      <w:rPr>
        <w:b/>
        <w:color w:val="0070C0"/>
        <w:sz w:val="24"/>
      </w:rPr>
      <w:t>UKMi Quality and Risk Management Group</w:t>
    </w:r>
  </w:p>
  <w:p w:rsidR="00F66594" w:rsidRPr="00F66594" w:rsidRDefault="00F66594" w:rsidP="00F66594">
    <w:pPr>
      <w:jc w:val="center"/>
      <w:rPr>
        <w:b/>
        <w:color w:val="0070C0"/>
        <w:sz w:val="24"/>
      </w:rPr>
    </w:pPr>
    <w:r w:rsidRPr="00F66594">
      <w:rPr>
        <w:b/>
        <w:color w:val="0070C0"/>
        <w:sz w:val="24"/>
      </w:rPr>
      <w:t>Document 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Look w:val="04A0" w:firstRow="1" w:lastRow="0" w:firstColumn="1" w:lastColumn="0" w:noHBand="0" w:noVBand="1"/>
    </w:tblPr>
    <w:tblGrid>
      <w:gridCol w:w="10031"/>
    </w:tblGrid>
    <w:tr w:rsidR="00A0441F" w:rsidRPr="001B4AF1" w:rsidTr="00A0441F">
      <w:tc>
        <w:tcPr>
          <w:tcW w:w="10031" w:type="dxa"/>
          <w:shd w:val="clear" w:color="auto" w:fill="auto"/>
        </w:tcPr>
        <w:p w:rsidR="00A0441F" w:rsidRPr="001B4AF1" w:rsidRDefault="00A0441F" w:rsidP="00D63609">
          <w:pPr>
            <w:pStyle w:val="Header"/>
            <w:rPr>
              <w:b/>
              <w:color w:val="0070C0"/>
              <w:sz w:val="24"/>
            </w:rPr>
          </w:pPr>
          <w:r>
            <w:rPr>
              <w:noProof/>
              <w:lang w:eastAsia="en-GB"/>
            </w:rPr>
            <w:drawing>
              <wp:inline distT="0" distB="0" distL="0" distR="0" wp14:anchorId="230FE149" wp14:editId="334263EB">
                <wp:extent cx="1043547" cy="423080"/>
                <wp:effectExtent l="0" t="0" r="4445" b="0"/>
                <wp:docPr id="5" name="Picture 5" descr="File:NHS-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NHS-Logo.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679" cy="423133"/>
                        </a:xfrm>
                        <a:prstGeom prst="rect">
                          <a:avLst/>
                        </a:prstGeom>
                        <a:noFill/>
                        <a:ln>
                          <a:noFill/>
                        </a:ln>
                      </pic:spPr>
                    </pic:pic>
                  </a:graphicData>
                </a:graphic>
              </wp:inline>
            </w:drawing>
          </w:r>
          <w:r>
            <w:rPr>
              <w:noProof/>
              <w:lang w:eastAsia="en-GB"/>
            </w:rPr>
            <w:t xml:space="preserve">                </w:t>
          </w:r>
          <w:r w:rsidR="00D63609">
            <w:rPr>
              <w:noProof/>
              <w:lang w:eastAsia="en-GB"/>
            </w:rPr>
            <w:t xml:space="preserve">                  </w:t>
          </w:r>
          <w:r>
            <w:rPr>
              <w:noProof/>
              <w:lang w:eastAsia="en-GB"/>
            </w:rPr>
            <w:drawing>
              <wp:inline distT="0" distB="0" distL="0" distR="0" wp14:anchorId="386CE746" wp14:editId="44F1366E">
                <wp:extent cx="1540510" cy="490855"/>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0510" cy="490855"/>
                        </a:xfrm>
                        <a:prstGeom prst="rect">
                          <a:avLst/>
                        </a:prstGeom>
                        <a:noFill/>
                      </pic:spPr>
                    </pic:pic>
                  </a:graphicData>
                </a:graphic>
              </wp:inline>
            </w:drawing>
          </w:r>
          <w:r w:rsidR="00D63609">
            <w:rPr>
              <w:noProof/>
              <w:lang w:eastAsia="en-GB"/>
            </w:rPr>
            <w:t xml:space="preserve">                          </w:t>
          </w:r>
          <w:r>
            <w:rPr>
              <w:noProof/>
              <w:lang w:eastAsia="en-GB"/>
            </w:rPr>
            <w:drawing>
              <wp:inline distT="0" distB="0" distL="0" distR="0" wp14:anchorId="74C1F72B" wp14:editId="50342B53">
                <wp:extent cx="1392072" cy="672724"/>
                <wp:effectExtent l="0" t="0" r="0" b="0"/>
                <wp:docPr id="7" name="Picture 7" descr="C:\Users\denise.stevens\Desktop\UK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stevens\Desktop\UKMi.jpg"/>
                        <pic:cNvPicPr>
                          <a:picLocks noChangeAspect="1" noChangeArrowheads="1"/>
                        </pic:cNvPicPr>
                      </pic:nvPicPr>
                      <pic:blipFill rotWithShape="1">
                        <a:blip r:embed="rId3">
                          <a:extLst>
                            <a:ext uri="{28A0092B-C50C-407E-A947-70E740481C1C}">
                              <a14:useLocalDpi xmlns:a14="http://schemas.microsoft.com/office/drawing/2010/main" val="0"/>
                            </a:ext>
                          </a:extLst>
                        </a:blip>
                        <a:srcRect l="3311" t="5737" r="4415" b="11476"/>
                        <a:stretch/>
                      </pic:blipFill>
                      <pic:spPr bwMode="auto">
                        <a:xfrm>
                          <a:off x="0" y="0"/>
                          <a:ext cx="1395560" cy="6744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7586D" w:rsidRPr="00DE402D" w:rsidRDefault="0057586D" w:rsidP="0057586D">
    <w:pPr>
      <w:pStyle w:val="Header"/>
      <w:rPr>
        <w:b/>
        <w:color w:val="0070C0"/>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EA5022"/>
    <w:multiLevelType w:val="multilevel"/>
    <w:tmpl w:val="E7DCA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11F42B4"/>
    <w:multiLevelType w:val="hybridMultilevel"/>
    <w:tmpl w:val="78DC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4003DC"/>
    <w:multiLevelType w:val="hybridMultilevel"/>
    <w:tmpl w:val="0D8C2666"/>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6E77185"/>
    <w:multiLevelType w:val="hybridMultilevel"/>
    <w:tmpl w:val="81FACF7E"/>
    <w:lvl w:ilvl="0" w:tplc="E3E43F9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9203502"/>
    <w:multiLevelType w:val="hybridMultilevel"/>
    <w:tmpl w:val="AFBE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D551A7"/>
    <w:multiLevelType w:val="hybridMultilevel"/>
    <w:tmpl w:val="7436A0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8A94990"/>
    <w:multiLevelType w:val="hybridMultilevel"/>
    <w:tmpl w:val="D7EABB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9657265"/>
    <w:multiLevelType w:val="hybridMultilevel"/>
    <w:tmpl w:val="B53A181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B164958"/>
    <w:multiLevelType w:val="multilevel"/>
    <w:tmpl w:val="02560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17B6E"/>
    <w:multiLevelType w:val="hybridMultilevel"/>
    <w:tmpl w:val="ED325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A0936A8"/>
    <w:multiLevelType w:val="hybridMultilevel"/>
    <w:tmpl w:val="F642CFD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C437541"/>
    <w:multiLevelType w:val="hybridMultilevel"/>
    <w:tmpl w:val="2BFC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B610C0"/>
    <w:multiLevelType w:val="hybridMultilevel"/>
    <w:tmpl w:val="7E666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99E4766"/>
    <w:multiLevelType w:val="hybridMultilevel"/>
    <w:tmpl w:val="9CC81D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955D0D"/>
    <w:multiLevelType w:val="hybridMultilevel"/>
    <w:tmpl w:val="2818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3E29E4"/>
    <w:multiLevelType w:val="hybridMultilevel"/>
    <w:tmpl w:val="9A2E7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CC50121"/>
    <w:multiLevelType w:val="hybridMultilevel"/>
    <w:tmpl w:val="0080803E"/>
    <w:lvl w:ilvl="0" w:tplc="0930D1A2">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5"/>
  </w:num>
  <w:num w:numId="3">
    <w:abstractNumId w:val="16"/>
  </w:num>
  <w:num w:numId="4">
    <w:abstractNumId w:val="4"/>
  </w:num>
  <w:num w:numId="5">
    <w:abstractNumId w:val="3"/>
  </w:num>
  <w:num w:numId="6">
    <w:abstractNumId w:val="13"/>
  </w:num>
  <w:num w:numId="7">
    <w:abstractNumId w:val="12"/>
  </w:num>
  <w:num w:numId="8">
    <w:abstractNumId w:val="2"/>
  </w:num>
  <w:num w:numId="9">
    <w:abstractNumId w:val="14"/>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9"/>
  </w:num>
  <w:num w:numId="12">
    <w:abstractNumId w:val="11"/>
  </w:num>
  <w:num w:numId="13">
    <w:abstractNumId w:val="8"/>
  </w:num>
  <w:num w:numId="14">
    <w:abstractNumId w:val="10"/>
  </w:num>
  <w:num w:numId="15">
    <w:abstractNumId w:val="1"/>
  </w:num>
  <w:num w:numId="16">
    <w:abstractNumId w:val="7"/>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GwNDIwMTE1NzMxNTZS0lEKTi0uzszPAykwrQUA6HrE6ywAAAA="/>
  </w:docVars>
  <w:rsids>
    <w:rsidRoot w:val="00D10286"/>
    <w:rsid w:val="000543A3"/>
    <w:rsid w:val="000E78D0"/>
    <w:rsid w:val="001249B2"/>
    <w:rsid w:val="001406AD"/>
    <w:rsid w:val="001B4AF1"/>
    <w:rsid w:val="001D6798"/>
    <w:rsid w:val="003A21B9"/>
    <w:rsid w:val="00404B40"/>
    <w:rsid w:val="00427F92"/>
    <w:rsid w:val="004556F2"/>
    <w:rsid w:val="004F475C"/>
    <w:rsid w:val="0057586D"/>
    <w:rsid w:val="005D7191"/>
    <w:rsid w:val="006620CD"/>
    <w:rsid w:val="006D4838"/>
    <w:rsid w:val="00736B3E"/>
    <w:rsid w:val="009274F4"/>
    <w:rsid w:val="00946DDB"/>
    <w:rsid w:val="00972555"/>
    <w:rsid w:val="00A0441F"/>
    <w:rsid w:val="00A5099A"/>
    <w:rsid w:val="00B20883"/>
    <w:rsid w:val="00B2372E"/>
    <w:rsid w:val="00C23AA7"/>
    <w:rsid w:val="00C86D89"/>
    <w:rsid w:val="00D062F7"/>
    <w:rsid w:val="00D10286"/>
    <w:rsid w:val="00D63609"/>
    <w:rsid w:val="00DE402D"/>
    <w:rsid w:val="00E71BD0"/>
    <w:rsid w:val="00F66594"/>
    <w:rsid w:val="00FD0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94"/>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E71BD0"/>
    <w:pPr>
      <w:keepNext/>
      <w:keepLines/>
      <w:pBdr>
        <w:bottom w:val="single" w:sz="36" w:space="1" w:color="0070C0"/>
      </w:pBdr>
      <w:spacing w:before="480"/>
      <w:outlineLvl w:val="0"/>
    </w:pPr>
    <w:rPr>
      <w:rFonts w:eastAsia="Times New Roman"/>
      <w:b/>
      <w:bCs/>
      <w:color w:val="0070C0"/>
      <w:sz w:val="36"/>
      <w:szCs w:val="28"/>
    </w:rPr>
  </w:style>
  <w:style w:type="paragraph" w:styleId="Heading2">
    <w:name w:val="heading 2"/>
    <w:basedOn w:val="Normal"/>
    <w:next w:val="Normal"/>
    <w:link w:val="Heading2Char"/>
    <w:qFormat/>
    <w:rsid w:val="00E71BD0"/>
    <w:pPr>
      <w:keepNext/>
      <w:pBdr>
        <w:bottom w:val="single" w:sz="6" w:space="1" w:color="0070C0"/>
      </w:pBdr>
      <w:spacing w:before="200"/>
      <w:outlineLvl w:val="1"/>
    </w:pPr>
    <w:rPr>
      <w:rFonts w:eastAsia="Times New Roman"/>
      <w:b/>
      <w:bCs/>
      <w:color w:val="0070C0"/>
      <w:sz w:val="32"/>
      <w:szCs w:val="20"/>
      <w:lang w:val="en-US"/>
    </w:rPr>
  </w:style>
  <w:style w:type="paragraph" w:styleId="Heading3">
    <w:name w:val="heading 3"/>
    <w:basedOn w:val="Normal"/>
    <w:next w:val="Normal"/>
    <w:link w:val="Heading3Char"/>
    <w:uiPriority w:val="9"/>
    <w:unhideWhenUsed/>
    <w:qFormat/>
    <w:rsid w:val="00E71BD0"/>
    <w:pPr>
      <w:keepNext/>
      <w:keepLines/>
      <w:spacing w:before="200"/>
      <w:outlineLvl w:val="2"/>
    </w:pPr>
    <w:rPr>
      <w:rFonts w:eastAsia="Times New Roman"/>
      <w:b/>
      <w:bCs/>
      <w:color w:val="0070C0"/>
      <w:sz w:val="28"/>
      <w:szCs w:val="20"/>
    </w:rPr>
  </w:style>
  <w:style w:type="paragraph" w:styleId="Heading4">
    <w:name w:val="heading 4"/>
    <w:basedOn w:val="Normal"/>
    <w:next w:val="Normal"/>
    <w:link w:val="Heading4Char"/>
    <w:uiPriority w:val="9"/>
    <w:unhideWhenUsed/>
    <w:qFormat/>
    <w:rsid w:val="00E71BD0"/>
    <w:pPr>
      <w:keepNext/>
      <w:keepLines/>
      <w:spacing w:before="200"/>
      <w:outlineLvl w:val="3"/>
    </w:pPr>
    <w:rPr>
      <w:rFonts w:eastAsia="Times New Roman"/>
      <w:b/>
      <w:bCs/>
      <w:i/>
      <w:iCs/>
      <w:color w:val="0070C0"/>
      <w:sz w:val="24"/>
    </w:rPr>
  </w:style>
  <w:style w:type="paragraph" w:styleId="Heading5">
    <w:name w:val="heading 5"/>
    <w:basedOn w:val="Normal"/>
    <w:next w:val="Normal"/>
    <w:link w:val="Heading5Char"/>
    <w:uiPriority w:val="9"/>
    <w:unhideWhenUsed/>
    <w:qFormat/>
    <w:rsid w:val="00E71BD0"/>
    <w:pPr>
      <w:keepNext/>
      <w:keepLines/>
      <w:spacing w:before="200"/>
      <w:outlineLvl w:val="4"/>
    </w:pPr>
    <w:rPr>
      <w:rFonts w:eastAsiaTheme="majorEastAsia" w:cstheme="majorBid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71BD0"/>
    <w:rPr>
      <w:rFonts w:ascii="Arial" w:eastAsia="Times New Roman" w:hAnsi="Arial"/>
      <w:b/>
      <w:bCs/>
      <w:color w:val="0070C0"/>
      <w:sz w:val="36"/>
      <w:szCs w:val="28"/>
      <w:lang w:eastAsia="en-US"/>
    </w:rPr>
  </w:style>
  <w:style w:type="character" w:customStyle="1" w:styleId="Heading2Char">
    <w:name w:val="Heading 2 Char"/>
    <w:link w:val="Heading2"/>
    <w:rsid w:val="00E71BD0"/>
    <w:rPr>
      <w:rFonts w:ascii="Arial" w:eastAsia="Times New Roman" w:hAnsi="Arial"/>
      <w:b/>
      <w:bCs/>
      <w:color w:val="0070C0"/>
      <w:sz w:val="32"/>
      <w:lang w:val="en-US" w:eastAsia="en-US"/>
    </w:rPr>
  </w:style>
  <w:style w:type="character" w:customStyle="1" w:styleId="Heading3Char">
    <w:name w:val="Heading 3 Char"/>
    <w:link w:val="Heading3"/>
    <w:uiPriority w:val="9"/>
    <w:rsid w:val="00E71BD0"/>
    <w:rPr>
      <w:rFonts w:ascii="Arial" w:eastAsia="Times New Roman" w:hAnsi="Arial"/>
      <w:b/>
      <w:bCs/>
      <w:color w:val="0070C0"/>
      <w:sz w:val="28"/>
      <w:lang w:eastAsia="en-US"/>
    </w:rPr>
  </w:style>
  <w:style w:type="character" w:styleId="Hyperlink">
    <w:name w:val="Hyperlink"/>
    <w:rsid w:val="00B2372E"/>
    <w:rPr>
      <w:color w:val="0000FF"/>
      <w:u w:val="single"/>
    </w:rPr>
  </w:style>
  <w:style w:type="paragraph" w:styleId="ListParagraph">
    <w:name w:val="List Paragraph"/>
    <w:basedOn w:val="Normal"/>
    <w:uiPriority w:val="34"/>
    <w:qFormat/>
    <w:rsid w:val="00B2372E"/>
    <w:pPr>
      <w:ind w:left="720"/>
      <w:contextualSpacing/>
    </w:pPr>
  </w:style>
  <w:style w:type="paragraph" w:styleId="Header">
    <w:name w:val="header"/>
    <w:basedOn w:val="Normal"/>
    <w:link w:val="HeaderChar"/>
    <w:unhideWhenUsed/>
    <w:rsid w:val="00B2372E"/>
    <w:pPr>
      <w:tabs>
        <w:tab w:val="center" w:pos="4513"/>
        <w:tab w:val="right" w:pos="9026"/>
      </w:tabs>
      <w:spacing w:after="0" w:line="240" w:lineRule="auto"/>
    </w:pPr>
  </w:style>
  <w:style w:type="character" w:customStyle="1" w:styleId="HeaderChar">
    <w:name w:val="Header Char"/>
    <w:link w:val="Header"/>
    <w:uiPriority w:val="99"/>
    <w:semiHidden/>
    <w:rsid w:val="00B2372E"/>
    <w:rPr>
      <w:rFonts w:ascii="Arial" w:eastAsia="Calibri" w:hAnsi="Arial" w:cs="Times New Roman"/>
      <w:sz w:val="20"/>
    </w:rPr>
  </w:style>
  <w:style w:type="paragraph" w:styleId="Footer">
    <w:name w:val="footer"/>
    <w:basedOn w:val="Normal"/>
    <w:link w:val="FooterChar"/>
    <w:uiPriority w:val="99"/>
    <w:unhideWhenUsed/>
    <w:rsid w:val="00B2372E"/>
    <w:pPr>
      <w:tabs>
        <w:tab w:val="center" w:pos="4513"/>
        <w:tab w:val="right" w:pos="9026"/>
      </w:tabs>
      <w:spacing w:after="0" w:line="240" w:lineRule="auto"/>
    </w:pPr>
  </w:style>
  <w:style w:type="character" w:customStyle="1" w:styleId="FooterChar">
    <w:name w:val="Footer Char"/>
    <w:link w:val="Footer"/>
    <w:uiPriority w:val="99"/>
    <w:rsid w:val="00B2372E"/>
    <w:rPr>
      <w:rFonts w:ascii="Arial" w:eastAsia="Calibri" w:hAnsi="Arial" w:cs="Times New Roman"/>
      <w:sz w:val="20"/>
    </w:rPr>
  </w:style>
  <w:style w:type="paragraph" w:styleId="NoSpacing">
    <w:name w:val="No Spacing"/>
    <w:uiPriority w:val="1"/>
    <w:qFormat/>
    <w:rsid w:val="00B2372E"/>
    <w:rPr>
      <w:rFonts w:ascii="Arial" w:hAnsi="Arial"/>
      <w:szCs w:val="22"/>
      <w:lang w:eastAsia="en-US"/>
    </w:rPr>
  </w:style>
  <w:style w:type="paragraph" w:styleId="BodyText">
    <w:name w:val="Body Text"/>
    <w:basedOn w:val="Normal"/>
    <w:link w:val="BodyTextChar"/>
    <w:rsid w:val="00B2372E"/>
    <w:pPr>
      <w:spacing w:after="0" w:line="240" w:lineRule="auto"/>
    </w:pPr>
    <w:rPr>
      <w:rFonts w:eastAsia="Times New Roman"/>
      <w:color w:val="000000"/>
      <w:szCs w:val="20"/>
      <w:lang w:val="en-AU"/>
    </w:rPr>
  </w:style>
  <w:style w:type="character" w:customStyle="1" w:styleId="BodyTextChar">
    <w:name w:val="Body Text Char"/>
    <w:link w:val="BodyText"/>
    <w:rsid w:val="00B2372E"/>
    <w:rPr>
      <w:rFonts w:ascii="Arial" w:eastAsia="Times New Roman" w:hAnsi="Arial" w:cs="Times New Roman"/>
      <w:color w:val="000000"/>
      <w:sz w:val="20"/>
      <w:szCs w:val="20"/>
      <w:lang w:val="en-AU"/>
    </w:rPr>
  </w:style>
  <w:style w:type="paragraph" w:styleId="BalloonText">
    <w:name w:val="Balloon Text"/>
    <w:basedOn w:val="Normal"/>
    <w:link w:val="BalloonTextChar"/>
    <w:uiPriority w:val="99"/>
    <w:semiHidden/>
    <w:unhideWhenUsed/>
    <w:rsid w:val="003A21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21B9"/>
    <w:rPr>
      <w:rFonts w:ascii="Tahoma" w:eastAsia="Calibri" w:hAnsi="Tahoma" w:cs="Tahoma"/>
      <w:sz w:val="16"/>
      <w:szCs w:val="16"/>
    </w:rPr>
  </w:style>
  <w:style w:type="character" w:customStyle="1" w:styleId="Heading4Char">
    <w:name w:val="Heading 4 Char"/>
    <w:link w:val="Heading4"/>
    <w:uiPriority w:val="9"/>
    <w:rsid w:val="00E71BD0"/>
    <w:rPr>
      <w:rFonts w:ascii="Arial" w:eastAsia="Times New Roman" w:hAnsi="Arial"/>
      <w:b/>
      <w:bCs/>
      <w:i/>
      <w:iCs/>
      <w:color w:val="0070C0"/>
      <w:sz w:val="24"/>
      <w:szCs w:val="22"/>
      <w:lang w:eastAsia="en-US"/>
    </w:rPr>
  </w:style>
  <w:style w:type="paragraph" w:styleId="Title">
    <w:name w:val="Title"/>
    <w:basedOn w:val="Normal"/>
    <w:next w:val="Normal"/>
    <w:link w:val="TitleChar"/>
    <w:uiPriority w:val="10"/>
    <w:qFormat/>
    <w:rsid w:val="00F66594"/>
    <w:pPr>
      <w:pBdr>
        <w:bottom w:val="single" w:sz="8" w:space="4" w:color="4F81BD"/>
      </w:pBdr>
      <w:spacing w:after="300" w:line="240" w:lineRule="auto"/>
      <w:contextualSpacing/>
      <w:jc w:val="center"/>
    </w:pPr>
    <w:rPr>
      <w:rFonts w:eastAsia="Times New Roman"/>
      <w:b/>
      <w:caps/>
      <w:color w:val="0070C0"/>
      <w:spacing w:val="5"/>
      <w:kern w:val="28"/>
      <w:sz w:val="52"/>
      <w:szCs w:val="52"/>
    </w:rPr>
  </w:style>
  <w:style w:type="character" w:customStyle="1" w:styleId="TitleChar">
    <w:name w:val="Title Char"/>
    <w:link w:val="Title"/>
    <w:uiPriority w:val="10"/>
    <w:rsid w:val="00F66594"/>
    <w:rPr>
      <w:rFonts w:ascii="Arial" w:eastAsia="Times New Roman" w:hAnsi="Arial" w:cs="Times New Roman"/>
      <w:b/>
      <w:caps/>
      <w:color w:val="0070C0"/>
      <w:spacing w:val="5"/>
      <w:kern w:val="28"/>
      <w:sz w:val="52"/>
      <w:szCs w:val="52"/>
    </w:rPr>
  </w:style>
  <w:style w:type="table" w:styleId="TableGrid">
    <w:name w:val="Table Grid"/>
    <w:basedOn w:val="TableNormal"/>
    <w:uiPriority w:val="59"/>
    <w:rsid w:val="0057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71BD0"/>
    <w:rPr>
      <w:rFonts w:ascii="Arial" w:eastAsiaTheme="majorEastAsia" w:hAnsi="Arial" w:cstheme="majorBidi"/>
      <w:b/>
      <w:i/>
      <w:color w:val="0070C0"/>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94"/>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E71BD0"/>
    <w:pPr>
      <w:keepNext/>
      <w:keepLines/>
      <w:pBdr>
        <w:bottom w:val="single" w:sz="36" w:space="1" w:color="0070C0"/>
      </w:pBdr>
      <w:spacing w:before="480"/>
      <w:outlineLvl w:val="0"/>
    </w:pPr>
    <w:rPr>
      <w:rFonts w:eastAsia="Times New Roman"/>
      <w:b/>
      <w:bCs/>
      <w:color w:val="0070C0"/>
      <w:sz w:val="36"/>
      <w:szCs w:val="28"/>
    </w:rPr>
  </w:style>
  <w:style w:type="paragraph" w:styleId="Heading2">
    <w:name w:val="heading 2"/>
    <w:basedOn w:val="Normal"/>
    <w:next w:val="Normal"/>
    <w:link w:val="Heading2Char"/>
    <w:qFormat/>
    <w:rsid w:val="00E71BD0"/>
    <w:pPr>
      <w:keepNext/>
      <w:pBdr>
        <w:bottom w:val="single" w:sz="6" w:space="1" w:color="0070C0"/>
      </w:pBdr>
      <w:spacing w:before="200"/>
      <w:outlineLvl w:val="1"/>
    </w:pPr>
    <w:rPr>
      <w:rFonts w:eastAsia="Times New Roman"/>
      <w:b/>
      <w:bCs/>
      <w:color w:val="0070C0"/>
      <w:sz w:val="32"/>
      <w:szCs w:val="20"/>
      <w:lang w:val="en-US"/>
    </w:rPr>
  </w:style>
  <w:style w:type="paragraph" w:styleId="Heading3">
    <w:name w:val="heading 3"/>
    <w:basedOn w:val="Normal"/>
    <w:next w:val="Normal"/>
    <w:link w:val="Heading3Char"/>
    <w:uiPriority w:val="9"/>
    <w:unhideWhenUsed/>
    <w:qFormat/>
    <w:rsid w:val="00E71BD0"/>
    <w:pPr>
      <w:keepNext/>
      <w:keepLines/>
      <w:spacing w:before="200"/>
      <w:outlineLvl w:val="2"/>
    </w:pPr>
    <w:rPr>
      <w:rFonts w:eastAsia="Times New Roman"/>
      <w:b/>
      <w:bCs/>
      <w:color w:val="0070C0"/>
      <w:sz w:val="28"/>
      <w:szCs w:val="20"/>
    </w:rPr>
  </w:style>
  <w:style w:type="paragraph" w:styleId="Heading4">
    <w:name w:val="heading 4"/>
    <w:basedOn w:val="Normal"/>
    <w:next w:val="Normal"/>
    <w:link w:val="Heading4Char"/>
    <w:uiPriority w:val="9"/>
    <w:unhideWhenUsed/>
    <w:qFormat/>
    <w:rsid w:val="00E71BD0"/>
    <w:pPr>
      <w:keepNext/>
      <w:keepLines/>
      <w:spacing w:before="200"/>
      <w:outlineLvl w:val="3"/>
    </w:pPr>
    <w:rPr>
      <w:rFonts w:eastAsia="Times New Roman"/>
      <w:b/>
      <w:bCs/>
      <w:i/>
      <w:iCs/>
      <w:color w:val="0070C0"/>
      <w:sz w:val="24"/>
    </w:rPr>
  </w:style>
  <w:style w:type="paragraph" w:styleId="Heading5">
    <w:name w:val="heading 5"/>
    <w:basedOn w:val="Normal"/>
    <w:next w:val="Normal"/>
    <w:link w:val="Heading5Char"/>
    <w:uiPriority w:val="9"/>
    <w:unhideWhenUsed/>
    <w:qFormat/>
    <w:rsid w:val="00E71BD0"/>
    <w:pPr>
      <w:keepNext/>
      <w:keepLines/>
      <w:spacing w:before="200"/>
      <w:outlineLvl w:val="4"/>
    </w:pPr>
    <w:rPr>
      <w:rFonts w:eastAsiaTheme="majorEastAsia" w:cstheme="majorBid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71BD0"/>
    <w:rPr>
      <w:rFonts w:ascii="Arial" w:eastAsia="Times New Roman" w:hAnsi="Arial"/>
      <w:b/>
      <w:bCs/>
      <w:color w:val="0070C0"/>
      <w:sz w:val="36"/>
      <w:szCs w:val="28"/>
      <w:lang w:eastAsia="en-US"/>
    </w:rPr>
  </w:style>
  <w:style w:type="character" w:customStyle="1" w:styleId="Heading2Char">
    <w:name w:val="Heading 2 Char"/>
    <w:link w:val="Heading2"/>
    <w:rsid w:val="00E71BD0"/>
    <w:rPr>
      <w:rFonts w:ascii="Arial" w:eastAsia="Times New Roman" w:hAnsi="Arial"/>
      <w:b/>
      <w:bCs/>
      <w:color w:val="0070C0"/>
      <w:sz w:val="32"/>
      <w:lang w:val="en-US" w:eastAsia="en-US"/>
    </w:rPr>
  </w:style>
  <w:style w:type="character" w:customStyle="1" w:styleId="Heading3Char">
    <w:name w:val="Heading 3 Char"/>
    <w:link w:val="Heading3"/>
    <w:uiPriority w:val="9"/>
    <w:rsid w:val="00E71BD0"/>
    <w:rPr>
      <w:rFonts w:ascii="Arial" w:eastAsia="Times New Roman" w:hAnsi="Arial"/>
      <w:b/>
      <w:bCs/>
      <w:color w:val="0070C0"/>
      <w:sz w:val="28"/>
      <w:lang w:eastAsia="en-US"/>
    </w:rPr>
  </w:style>
  <w:style w:type="character" w:styleId="Hyperlink">
    <w:name w:val="Hyperlink"/>
    <w:rsid w:val="00B2372E"/>
    <w:rPr>
      <w:color w:val="0000FF"/>
      <w:u w:val="single"/>
    </w:rPr>
  </w:style>
  <w:style w:type="paragraph" w:styleId="ListParagraph">
    <w:name w:val="List Paragraph"/>
    <w:basedOn w:val="Normal"/>
    <w:uiPriority w:val="34"/>
    <w:qFormat/>
    <w:rsid w:val="00B2372E"/>
    <w:pPr>
      <w:ind w:left="720"/>
      <w:contextualSpacing/>
    </w:pPr>
  </w:style>
  <w:style w:type="paragraph" w:styleId="Header">
    <w:name w:val="header"/>
    <w:basedOn w:val="Normal"/>
    <w:link w:val="HeaderChar"/>
    <w:unhideWhenUsed/>
    <w:rsid w:val="00B2372E"/>
    <w:pPr>
      <w:tabs>
        <w:tab w:val="center" w:pos="4513"/>
        <w:tab w:val="right" w:pos="9026"/>
      </w:tabs>
      <w:spacing w:after="0" w:line="240" w:lineRule="auto"/>
    </w:pPr>
  </w:style>
  <w:style w:type="character" w:customStyle="1" w:styleId="HeaderChar">
    <w:name w:val="Header Char"/>
    <w:link w:val="Header"/>
    <w:uiPriority w:val="99"/>
    <w:semiHidden/>
    <w:rsid w:val="00B2372E"/>
    <w:rPr>
      <w:rFonts w:ascii="Arial" w:eastAsia="Calibri" w:hAnsi="Arial" w:cs="Times New Roman"/>
      <w:sz w:val="20"/>
    </w:rPr>
  </w:style>
  <w:style w:type="paragraph" w:styleId="Footer">
    <w:name w:val="footer"/>
    <w:basedOn w:val="Normal"/>
    <w:link w:val="FooterChar"/>
    <w:uiPriority w:val="99"/>
    <w:unhideWhenUsed/>
    <w:rsid w:val="00B2372E"/>
    <w:pPr>
      <w:tabs>
        <w:tab w:val="center" w:pos="4513"/>
        <w:tab w:val="right" w:pos="9026"/>
      </w:tabs>
      <w:spacing w:after="0" w:line="240" w:lineRule="auto"/>
    </w:pPr>
  </w:style>
  <w:style w:type="character" w:customStyle="1" w:styleId="FooterChar">
    <w:name w:val="Footer Char"/>
    <w:link w:val="Footer"/>
    <w:uiPriority w:val="99"/>
    <w:rsid w:val="00B2372E"/>
    <w:rPr>
      <w:rFonts w:ascii="Arial" w:eastAsia="Calibri" w:hAnsi="Arial" w:cs="Times New Roman"/>
      <w:sz w:val="20"/>
    </w:rPr>
  </w:style>
  <w:style w:type="paragraph" w:styleId="NoSpacing">
    <w:name w:val="No Spacing"/>
    <w:uiPriority w:val="1"/>
    <w:qFormat/>
    <w:rsid w:val="00B2372E"/>
    <w:rPr>
      <w:rFonts w:ascii="Arial" w:hAnsi="Arial"/>
      <w:szCs w:val="22"/>
      <w:lang w:eastAsia="en-US"/>
    </w:rPr>
  </w:style>
  <w:style w:type="paragraph" w:styleId="BodyText">
    <w:name w:val="Body Text"/>
    <w:basedOn w:val="Normal"/>
    <w:link w:val="BodyTextChar"/>
    <w:rsid w:val="00B2372E"/>
    <w:pPr>
      <w:spacing w:after="0" w:line="240" w:lineRule="auto"/>
    </w:pPr>
    <w:rPr>
      <w:rFonts w:eastAsia="Times New Roman"/>
      <w:color w:val="000000"/>
      <w:szCs w:val="20"/>
      <w:lang w:val="en-AU"/>
    </w:rPr>
  </w:style>
  <w:style w:type="character" w:customStyle="1" w:styleId="BodyTextChar">
    <w:name w:val="Body Text Char"/>
    <w:link w:val="BodyText"/>
    <w:rsid w:val="00B2372E"/>
    <w:rPr>
      <w:rFonts w:ascii="Arial" w:eastAsia="Times New Roman" w:hAnsi="Arial" w:cs="Times New Roman"/>
      <w:color w:val="000000"/>
      <w:sz w:val="20"/>
      <w:szCs w:val="20"/>
      <w:lang w:val="en-AU"/>
    </w:rPr>
  </w:style>
  <w:style w:type="paragraph" w:styleId="BalloonText">
    <w:name w:val="Balloon Text"/>
    <w:basedOn w:val="Normal"/>
    <w:link w:val="BalloonTextChar"/>
    <w:uiPriority w:val="99"/>
    <w:semiHidden/>
    <w:unhideWhenUsed/>
    <w:rsid w:val="003A21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21B9"/>
    <w:rPr>
      <w:rFonts w:ascii="Tahoma" w:eastAsia="Calibri" w:hAnsi="Tahoma" w:cs="Tahoma"/>
      <w:sz w:val="16"/>
      <w:szCs w:val="16"/>
    </w:rPr>
  </w:style>
  <w:style w:type="character" w:customStyle="1" w:styleId="Heading4Char">
    <w:name w:val="Heading 4 Char"/>
    <w:link w:val="Heading4"/>
    <w:uiPriority w:val="9"/>
    <w:rsid w:val="00E71BD0"/>
    <w:rPr>
      <w:rFonts w:ascii="Arial" w:eastAsia="Times New Roman" w:hAnsi="Arial"/>
      <w:b/>
      <w:bCs/>
      <w:i/>
      <w:iCs/>
      <w:color w:val="0070C0"/>
      <w:sz w:val="24"/>
      <w:szCs w:val="22"/>
      <w:lang w:eastAsia="en-US"/>
    </w:rPr>
  </w:style>
  <w:style w:type="paragraph" w:styleId="Title">
    <w:name w:val="Title"/>
    <w:basedOn w:val="Normal"/>
    <w:next w:val="Normal"/>
    <w:link w:val="TitleChar"/>
    <w:uiPriority w:val="10"/>
    <w:qFormat/>
    <w:rsid w:val="00F66594"/>
    <w:pPr>
      <w:pBdr>
        <w:bottom w:val="single" w:sz="8" w:space="4" w:color="4F81BD"/>
      </w:pBdr>
      <w:spacing w:after="300" w:line="240" w:lineRule="auto"/>
      <w:contextualSpacing/>
      <w:jc w:val="center"/>
    </w:pPr>
    <w:rPr>
      <w:rFonts w:eastAsia="Times New Roman"/>
      <w:b/>
      <w:caps/>
      <w:color w:val="0070C0"/>
      <w:spacing w:val="5"/>
      <w:kern w:val="28"/>
      <w:sz w:val="52"/>
      <w:szCs w:val="52"/>
    </w:rPr>
  </w:style>
  <w:style w:type="character" w:customStyle="1" w:styleId="TitleChar">
    <w:name w:val="Title Char"/>
    <w:link w:val="Title"/>
    <w:uiPriority w:val="10"/>
    <w:rsid w:val="00F66594"/>
    <w:rPr>
      <w:rFonts w:ascii="Arial" w:eastAsia="Times New Roman" w:hAnsi="Arial" w:cs="Times New Roman"/>
      <w:b/>
      <w:caps/>
      <w:color w:val="0070C0"/>
      <w:spacing w:val="5"/>
      <w:kern w:val="28"/>
      <w:sz w:val="52"/>
      <w:szCs w:val="52"/>
    </w:rPr>
  </w:style>
  <w:style w:type="table" w:styleId="TableGrid">
    <w:name w:val="Table Grid"/>
    <w:basedOn w:val="TableNormal"/>
    <w:uiPriority w:val="59"/>
    <w:rsid w:val="0057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71BD0"/>
    <w:rPr>
      <w:rFonts w:ascii="Arial" w:eastAsiaTheme="majorEastAsia" w:hAnsi="Arial" w:cstheme="majorBidi"/>
      <w:b/>
      <w:i/>
      <w:color w:val="0070C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medicines/human"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ri.cts-mrp.eu/Hum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anslabel.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mri.cts-mrp.eu/Human" TargetMode="External"/><Relationship Id="rId4" Type="http://schemas.openxmlformats.org/officeDocument/2006/relationships/settings" Target="settings.xml"/><Relationship Id="rId9" Type="http://schemas.openxmlformats.org/officeDocument/2006/relationships/hyperlink" Target="https://mri.cts-mrp.eu/Human/product-informatio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kearney\AppData\Local\Microsoft\Windows\Temporary%20Internet%20Files\Content.Outlook\U71DGMPZ\QRMG-template-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QRMG-template-2019</Template>
  <TotalTime>1</TotalTime>
  <Pages>3</Pages>
  <Words>1147</Words>
  <Characters>6544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7676</CharactersWithSpaces>
  <SharedDoc>false</SharedDoc>
  <HLinks>
    <vt:vector size="6" baseType="variant">
      <vt:variant>
        <vt:i4>6488072</vt:i4>
      </vt:variant>
      <vt:variant>
        <vt:i4>0</vt:i4>
      </vt:variant>
      <vt:variant>
        <vt:i4>0</vt:i4>
      </vt:variant>
      <vt:variant>
        <vt:i4>5</vt:i4>
      </vt:variant>
      <vt:variant>
        <vt:lpwstr>https://www.nlm.nih.gov/bsd/uniform_requirements.html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laura.kearney</dc:creator>
  <cp:lastModifiedBy>laura.kearney</cp:lastModifiedBy>
  <cp:revision>2</cp:revision>
  <dcterms:created xsi:type="dcterms:W3CDTF">2020-01-06T09:18:00Z</dcterms:created>
  <dcterms:modified xsi:type="dcterms:W3CDTF">2020-01-06T09:18:00Z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89b3bfb0-bff8-469f-998c-d5857a1a1b7b</vt:lpwstr>
  </property>
</Properties>
</file>