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229B5" w14:textId="77777777" w:rsidR="00F14CBD" w:rsidRDefault="00F14CBD" w:rsidP="000827A3">
      <w:pPr>
        <w:jc w:val="center"/>
        <w:rPr>
          <w:rFonts w:ascii="Verdana" w:hAnsi="Verdana"/>
          <w:b/>
          <w:sz w:val="22"/>
          <w:szCs w:val="22"/>
        </w:rPr>
      </w:pPr>
    </w:p>
    <w:p w14:paraId="69670A59" w14:textId="77777777" w:rsidR="00F14CBD" w:rsidRDefault="00F14CBD" w:rsidP="000827A3">
      <w:pPr>
        <w:jc w:val="center"/>
        <w:rPr>
          <w:rFonts w:ascii="Verdana" w:hAnsi="Verdana"/>
          <w:b/>
          <w:sz w:val="22"/>
          <w:szCs w:val="22"/>
        </w:rPr>
      </w:pPr>
    </w:p>
    <w:p w14:paraId="39FBFC22" w14:textId="2FF260AF" w:rsidR="005A7A60" w:rsidRPr="00036352" w:rsidRDefault="000827A3" w:rsidP="000827A3">
      <w:pPr>
        <w:jc w:val="center"/>
        <w:rPr>
          <w:rFonts w:ascii="Verdana" w:hAnsi="Verdana"/>
          <w:b/>
          <w:sz w:val="22"/>
          <w:szCs w:val="22"/>
        </w:rPr>
      </w:pPr>
      <w:r w:rsidRPr="00036352">
        <w:rPr>
          <w:rFonts w:ascii="Verdana" w:hAnsi="Verdana"/>
          <w:b/>
          <w:sz w:val="22"/>
          <w:szCs w:val="22"/>
        </w:rPr>
        <w:t xml:space="preserve">Recording of </w:t>
      </w:r>
      <w:r w:rsidR="0004625A">
        <w:rPr>
          <w:rFonts w:ascii="Verdana" w:hAnsi="Verdana"/>
          <w:b/>
          <w:sz w:val="22"/>
          <w:szCs w:val="22"/>
        </w:rPr>
        <w:t>Simple</w:t>
      </w:r>
      <w:r w:rsidRPr="00036352">
        <w:rPr>
          <w:rFonts w:ascii="Verdana" w:hAnsi="Verdana"/>
          <w:b/>
          <w:sz w:val="22"/>
          <w:szCs w:val="22"/>
        </w:rPr>
        <w:t xml:space="preserve"> enquiries</w:t>
      </w:r>
    </w:p>
    <w:p w14:paraId="13048A42" w14:textId="77777777" w:rsidR="000827A3" w:rsidRPr="00036352" w:rsidRDefault="000827A3" w:rsidP="000827A3">
      <w:pPr>
        <w:jc w:val="center"/>
        <w:rPr>
          <w:rFonts w:ascii="Verdana" w:hAnsi="Verdana"/>
          <w:b/>
          <w:sz w:val="22"/>
          <w:szCs w:val="22"/>
        </w:rPr>
      </w:pPr>
    </w:p>
    <w:p w14:paraId="3038BAA7" w14:textId="77777777" w:rsidR="000827A3" w:rsidRPr="00036352" w:rsidRDefault="000827A3" w:rsidP="000827A3">
      <w:pPr>
        <w:rPr>
          <w:rFonts w:ascii="Verdana" w:hAnsi="Verdana"/>
          <w:b/>
          <w:sz w:val="22"/>
          <w:szCs w:val="22"/>
        </w:rPr>
      </w:pPr>
      <w:r w:rsidRPr="00036352">
        <w:rPr>
          <w:rFonts w:ascii="Verdana" w:hAnsi="Verdana"/>
          <w:b/>
          <w:sz w:val="22"/>
          <w:szCs w:val="22"/>
        </w:rPr>
        <w:t>Background</w:t>
      </w:r>
    </w:p>
    <w:p w14:paraId="0B5D66BF" w14:textId="77777777" w:rsidR="000827A3" w:rsidRPr="00036352" w:rsidRDefault="000827A3" w:rsidP="000827A3">
      <w:pPr>
        <w:rPr>
          <w:rFonts w:ascii="Verdana" w:hAnsi="Verdana"/>
          <w:sz w:val="22"/>
          <w:szCs w:val="22"/>
        </w:rPr>
      </w:pPr>
    </w:p>
    <w:p w14:paraId="193B6B35" w14:textId="77777777" w:rsidR="000827A3" w:rsidRPr="00036352" w:rsidRDefault="000827A3" w:rsidP="000827A3">
      <w:pPr>
        <w:rPr>
          <w:rFonts w:ascii="Verdana" w:hAnsi="Verdana"/>
          <w:sz w:val="22"/>
          <w:szCs w:val="22"/>
        </w:rPr>
      </w:pPr>
      <w:r w:rsidRPr="00036352">
        <w:rPr>
          <w:rFonts w:ascii="Verdana" w:hAnsi="Verdana"/>
          <w:sz w:val="22"/>
          <w:szCs w:val="22"/>
        </w:rPr>
        <w:t xml:space="preserve">A number of MI centres are choosing not to record some/all </w:t>
      </w:r>
      <w:r w:rsidR="0004625A">
        <w:rPr>
          <w:rFonts w:ascii="Verdana" w:hAnsi="Verdana"/>
          <w:sz w:val="22"/>
          <w:szCs w:val="22"/>
        </w:rPr>
        <w:t>of what they perceive as simple</w:t>
      </w:r>
      <w:r w:rsidRPr="00036352">
        <w:rPr>
          <w:rFonts w:ascii="Verdana" w:hAnsi="Verdana"/>
          <w:sz w:val="22"/>
          <w:szCs w:val="22"/>
        </w:rPr>
        <w:t xml:space="preserve"> enquiries on </w:t>
      </w:r>
      <w:proofErr w:type="spellStart"/>
      <w:r w:rsidRPr="00036352">
        <w:rPr>
          <w:rFonts w:ascii="Verdana" w:hAnsi="Verdana"/>
          <w:sz w:val="22"/>
          <w:szCs w:val="22"/>
        </w:rPr>
        <w:t>MiDatabank</w:t>
      </w:r>
      <w:proofErr w:type="spellEnd"/>
      <w:r w:rsidRPr="00036352">
        <w:rPr>
          <w:rFonts w:ascii="Verdana" w:hAnsi="Verdana"/>
          <w:sz w:val="22"/>
          <w:szCs w:val="22"/>
        </w:rPr>
        <w:t xml:space="preserve">. The options being used are a) not to record </w:t>
      </w:r>
      <w:r w:rsidR="0004625A">
        <w:rPr>
          <w:rFonts w:ascii="Verdana" w:hAnsi="Verdana"/>
          <w:sz w:val="22"/>
          <w:szCs w:val="22"/>
        </w:rPr>
        <w:t>simple</w:t>
      </w:r>
      <w:r w:rsidRPr="00036352">
        <w:rPr>
          <w:rFonts w:ascii="Verdana" w:hAnsi="Verdana"/>
          <w:sz w:val="22"/>
          <w:szCs w:val="22"/>
        </w:rPr>
        <w:t xml:space="preserve"> enquiries at all or b) to record </w:t>
      </w:r>
      <w:r w:rsidR="0004625A">
        <w:rPr>
          <w:rFonts w:ascii="Verdana" w:hAnsi="Verdana"/>
          <w:sz w:val="22"/>
          <w:szCs w:val="22"/>
        </w:rPr>
        <w:t>simple</w:t>
      </w:r>
      <w:r w:rsidRPr="00036352">
        <w:rPr>
          <w:rFonts w:ascii="Verdana" w:hAnsi="Verdana"/>
          <w:sz w:val="22"/>
          <w:szCs w:val="22"/>
        </w:rPr>
        <w:t xml:space="preserve"> enquirie</w:t>
      </w:r>
      <w:r w:rsidR="001C365B">
        <w:rPr>
          <w:rFonts w:ascii="Verdana" w:hAnsi="Verdana"/>
          <w:sz w:val="22"/>
          <w:szCs w:val="22"/>
        </w:rPr>
        <w:t xml:space="preserve">s in a different way </w:t>
      </w:r>
      <w:proofErr w:type="spellStart"/>
      <w:r w:rsidR="001C365B">
        <w:rPr>
          <w:rFonts w:ascii="Verdana" w:hAnsi="Verdana"/>
          <w:sz w:val="22"/>
          <w:szCs w:val="22"/>
        </w:rPr>
        <w:t>eg</w:t>
      </w:r>
      <w:proofErr w:type="spellEnd"/>
      <w:r w:rsidR="001C365B">
        <w:rPr>
          <w:rFonts w:ascii="Verdana" w:hAnsi="Verdana"/>
          <w:sz w:val="22"/>
          <w:szCs w:val="22"/>
        </w:rPr>
        <w:t xml:space="preserve"> d</w:t>
      </w:r>
      <w:r w:rsidRPr="00036352">
        <w:rPr>
          <w:rFonts w:ascii="Verdana" w:hAnsi="Verdana"/>
          <w:sz w:val="22"/>
          <w:szCs w:val="22"/>
        </w:rPr>
        <w:t>aybook, spreadsheet etc.</w:t>
      </w:r>
    </w:p>
    <w:p w14:paraId="178C7E1D" w14:textId="77777777" w:rsidR="000827A3" w:rsidRPr="00036352" w:rsidRDefault="000827A3" w:rsidP="000827A3">
      <w:pPr>
        <w:rPr>
          <w:rFonts w:ascii="Verdana" w:hAnsi="Verdana"/>
          <w:sz w:val="22"/>
          <w:szCs w:val="22"/>
        </w:rPr>
      </w:pPr>
    </w:p>
    <w:p w14:paraId="03CED84F" w14:textId="77777777" w:rsidR="0004625A" w:rsidRDefault="000827A3" w:rsidP="000827A3">
      <w:pPr>
        <w:rPr>
          <w:rFonts w:ascii="Verdana" w:hAnsi="Verdana"/>
          <w:sz w:val="22"/>
          <w:szCs w:val="22"/>
        </w:rPr>
      </w:pPr>
      <w:proofErr w:type="spellStart"/>
      <w:r w:rsidRPr="00036352">
        <w:rPr>
          <w:rFonts w:ascii="Verdana" w:hAnsi="Verdana"/>
          <w:sz w:val="22"/>
          <w:szCs w:val="22"/>
        </w:rPr>
        <w:t>UKMi’s</w:t>
      </w:r>
      <w:proofErr w:type="spellEnd"/>
      <w:r w:rsidRPr="00036352">
        <w:rPr>
          <w:rFonts w:ascii="Verdana" w:hAnsi="Verdana"/>
          <w:sz w:val="22"/>
          <w:szCs w:val="22"/>
        </w:rPr>
        <w:t xml:space="preserve"> CGWG has consider</w:t>
      </w:r>
      <w:r w:rsidR="0004625A">
        <w:rPr>
          <w:rFonts w:ascii="Verdana" w:hAnsi="Verdana"/>
          <w:sz w:val="22"/>
          <w:szCs w:val="22"/>
        </w:rPr>
        <w:t>ed</w:t>
      </w:r>
      <w:r w:rsidRPr="00036352">
        <w:rPr>
          <w:rFonts w:ascii="Verdana" w:hAnsi="Verdana"/>
          <w:sz w:val="22"/>
          <w:szCs w:val="22"/>
        </w:rPr>
        <w:t xml:space="preserve"> the implications of this practice which seems to be being adopted by increasingly more centres.</w:t>
      </w:r>
      <w:r w:rsidR="0004625A">
        <w:rPr>
          <w:rFonts w:ascii="Verdana" w:hAnsi="Verdana"/>
          <w:sz w:val="22"/>
          <w:szCs w:val="22"/>
        </w:rPr>
        <w:t xml:space="preserve"> The </w:t>
      </w:r>
      <w:proofErr w:type="spellStart"/>
      <w:r w:rsidR="0004625A">
        <w:rPr>
          <w:rFonts w:ascii="Verdana" w:hAnsi="Verdana"/>
          <w:sz w:val="22"/>
          <w:szCs w:val="22"/>
        </w:rPr>
        <w:t>UKMi</w:t>
      </w:r>
      <w:proofErr w:type="spellEnd"/>
      <w:r w:rsidR="0004625A">
        <w:rPr>
          <w:rFonts w:ascii="Verdana" w:hAnsi="Verdana"/>
          <w:sz w:val="22"/>
          <w:szCs w:val="22"/>
        </w:rPr>
        <w:t xml:space="preserve"> E</w:t>
      </w:r>
      <w:r w:rsidR="00D50628">
        <w:rPr>
          <w:rFonts w:ascii="Verdana" w:hAnsi="Verdana"/>
          <w:sz w:val="22"/>
          <w:szCs w:val="22"/>
        </w:rPr>
        <w:t>xec, at its meeting in June 2016</w:t>
      </w:r>
      <w:r w:rsidR="0004625A">
        <w:rPr>
          <w:rFonts w:ascii="Verdana" w:hAnsi="Verdana"/>
          <w:sz w:val="22"/>
          <w:szCs w:val="22"/>
        </w:rPr>
        <w:t xml:space="preserve">, endorsed the recommendations of the CGWG that </w:t>
      </w:r>
    </w:p>
    <w:p w14:paraId="314D03E6" w14:textId="77777777" w:rsidR="000827A3" w:rsidRDefault="0004625A" w:rsidP="0004625A">
      <w:pPr>
        <w:pStyle w:val="ListParagraph"/>
        <w:numPr>
          <w:ilvl w:val="0"/>
          <w:numId w:val="17"/>
        </w:numPr>
        <w:rPr>
          <w:rFonts w:ascii="Verdana" w:hAnsi="Verdana"/>
          <w:sz w:val="22"/>
          <w:szCs w:val="22"/>
        </w:rPr>
      </w:pPr>
      <w:proofErr w:type="gramStart"/>
      <w:r w:rsidRPr="0004625A">
        <w:rPr>
          <w:rFonts w:ascii="Verdana" w:hAnsi="Verdana"/>
          <w:sz w:val="22"/>
          <w:szCs w:val="22"/>
        </w:rPr>
        <w:t>all</w:t>
      </w:r>
      <w:proofErr w:type="gramEnd"/>
      <w:r w:rsidRPr="0004625A">
        <w:rPr>
          <w:rFonts w:ascii="Verdana" w:hAnsi="Verdana"/>
          <w:sz w:val="22"/>
          <w:szCs w:val="22"/>
        </w:rPr>
        <w:t xml:space="preserve"> enquiries received should be recorded contemporaneously on </w:t>
      </w:r>
      <w:proofErr w:type="spellStart"/>
      <w:r w:rsidRPr="0004625A">
        <w:rPr>
          <w:rFonts w:ascii="Verdana" w:hAnsi="Verdana"/>
          <w:sz w:val="22"/>
          <w:szCs w:val="22"/>
        </w:rPr>
        <w:t>MiDatabank</w:t>
      </w:r>
      <w:proofErr w:type="spellEnd"/>
      <w:r w:rsidRPr="0004625A">
        <w:rPr>
          <w:rFonts w:ascii="Verdana" w:hAnsi="Verdana"/>
          <w:sz w:val="22"/>
          <w:szCs w:val="22"/>
        </w:rPr>
        <w:t>.</w:t>
      </w:r>
    </w:p>
    <w:p w14:paraId="729B670B" w14:textId="77777777" w:rsidR="0004625A" w:rsidRDefault="0004625A" w:rsidP="0004625A">
      <w:pPr>
        <w:pStyle w:val="ListParagraph"/>
        <w:numPr>
          <w:ilvl w:val="0"/>
          <w:numId w:val="17"/>
        </w:numPr>
        <w:rPr>
          <w:rFonts w:ascii="Verdana" w:hAnsi="Verdana"/>
          <w:sz w:val="22"/>
          <w:szCs w:val="22"/>
        </w:rPr>
      </w:pPr>
      <w:proofErr w:type="spellStart"/>
      <w:r>
        <w:rPr>
          <w:rFonts w:ascii="Verdana" w:hAnsi="Verdana"/>
          <w:sz w:val="22"/>
          <w:szCs w:val="22"/>
        </w:rPr>
        <w:t>UKMi</w:t>
      </w:r>
      <w:proofErr w:type="spellEnd"/>
      <w:r>
        <w:rPr>
          <w:rFonts w:ascii="Verdana" w:hAnsi="Verdana"/>
          <w:sz w:val="22"/>
          <w:szCs w:val="22"/>
        </w:rPr>
        <w:t xml:space="preserve"> enquiry answering standards should be updated to include this</w:t>
      </w:r>
    </w:p>
    <w:p w14:paraId="4ECCFEB1" w14:textId="77777777" w:rsidR="0004625A" w:rsidRDefault="005654C2" w:rsidP="0004625A">
      <w:pPr>
        <w:pStyle w:val="ListParagraph"/>
        <w:numPr>
          <w:ilvl w:val="0"/>
          <w:numId w:val="17"/>
        </w:numPr>
        <w:rPr>
          <w:rFonts w:ascii="Verdana" w:hAnsi="Verdana"/>
          <w:sz w:val="22"/>
          <w:szCs w:val="22"/>
        </w:rPr>
      </w:pPr>
      <w:proofErr w:type="gramStart"/>
      <w:r>
        <w:rPr>
          <w:rFonts w:ascii="Verdana" w:hAnsi="Verdana"/>
          <w:sz w:val="22"/>
          <w:szCs w:val="22"/>
        </w:rPr>
        <w:t>revised</w:t>
      </w:r>
      <w:proofErr w:type="gramEnd"/>
      <w:r>
        <w:rPr>
          <w:rFonts w:ascii="Verdana" w:hAnsi="Verdana"/>
          <w:sz w:val="22"/>
          <w:szCs w:val="22"/>
        </w:rPr>
        <w:t xml:space="preserve"> </w:t>
      </w:r>
      <w:r w:rsidR="0004625A">
        <w:rPr>
          <w:rFonts w:ascii="Verdana" w:hAnsi="Verdana"/>
          <w:sz w:val="22"/>
          <w:szCs w:val="22"/>
        </w:rPr>
        <w:t xml:space="preserve">paper should include suggestions of how to reduce the time taken to record simple enquiries on </w:t>
      </w:r>
      <w:proofErr w:type="spellStart"/>
      <w:r w:rsidR="0004625A">
        <w:rPr>
          <w:rFonts w:ascii="Verdana" w:hAnsi="Verdana"/>
          <w:sz w:val="22"/>
          <w:szCs w:val="22"/>
        </w:rPr>
        <w:t>MiDatabank</w:t>
      </w:r>
      <w:proofErr w:type="spellEnd"/>
      <w:r w:rsidR="0004625A">
        <w:rPr>
          <w:rFonts w:ascii="Verdana" w:hAnsi="Verdana"/>
          <w:sz w:val="22"/>
          <w:szCs w:val="22"/>
        </w:rPr>
        <w:t>.</w:t>
      </w:r>
    </w:p>
    <w:p w14:paraId="2953A325" w14:textId="77777777" w:rsidR="0004625A" w:rsidRDefault="0004625A" w:rsidP="0004625A">
      <w:pPr>
        <w:pStyle w:val="ListParagraph"/>
        <w:rPr>
          <w:rFonts w:ascii="Verdana" w:hAnsi="Verdana"/>
          <w:sz w:val="22"/>
          <w:szCs w:val="22"/>
        </w:rPr>
      </w:pPr>
    </w:p>
    <w:p w14:paraId="08A689ED" w14:textId="77777777" w:rsidR="0004625A" w:rsidRDefault="0004625A" w:rsidP="000827A3">
      <w:pPr>
        <w:rPr>
          <w:rFonts w:ascii="Verdana" w:hAnsi="Verdana"/>
          <w:sz w:val="22"/>
          <w:szCs w:val="22"/>
        </w:rPr>
      </w:pPr>
    </w:p>
    <w:p w14:paraId="78060783" w14:textId="77777777" w:rsidR="0004625A" w:rsidRDefault="0004625A" w:rsidP="000827A3">
      <w:pPr>
        <w:rPr>
          <w:rFonts w:ascii="Verdana" w:hAnsi="Verdana"/>
          <w:sz w:val="22"/>
          <w:szCs w:val="22"/>
        </w:rPr>
      </w:pPr>
    </w:p>
    <w:p w14:paraId="1A5B1232" w14:textId="77777777" w:rsidR="0004625A" w:rsidRDefault="0004625A" w:rsidP="000827A3">
      <w:pPr>
        <w:rPr>
          <w:rFonts w:ascii="Verdana" w:hAnsi="Verdana"/>
          <w:sz w:val="22"/>
          <w:szCs w:val="22"/>
        </w:rPr>
      </w:pPr>
    </w:p>
    <w:p w14:paraId="32D5C754" w14:textId="77777777" w:rsidR="0004625A" w:rsidRDefault="0004625A" w:rsidP="000827A3">
      <w:pPr>
        <w:rPr>
          <w:rFonts w:ascii="Verdana" w:hAnsi="Verdana"/>
          <w:sz w:val="22"/>
          <w:szCs w:val="22"/>
        </w:rPr>
      </w:pPr>
    </w:p>
    <w:p w14:paraId="4E4CC013" w14:textId="77777777" w:rsidR="0004625A" w:rsidRDefault="0004625A" w:rsidP="000827A3">
      <w:pPr>
        <w:rPr>
          <w:rFonts w:ascii="Verdana" w:hAnsi="Verdana"/>
          <w:sz w:val="22"/>
          <w:szCs w:val="22"/>
        </w:rPr>
      </w:pPr>
    </w:p>
    <w:p w14:paraId="71717B95" w14:textId="77777777" w:rsidR="0004625A" w:rsidRDefault="0004625A" w:rsidP="000827A3">
      <w:pPr>
        <w:rPr>
          <w:rFonts w:ascii="Verdana" w:hAnsi="Verdana"/>
          <w:sz w:val="22"/>
          <w:szCs w:val="22"/>
        </w:rPr>
      </w:pPr>
    </w:p>
    <w:p w14:paraId="299EE570" w14:textId="77777777" w:rsidR="0004625A" w:rsidRDefault="0004625A" w:rsidP="000827A3">
      <w:pPr>
        <w:rPr>
          <w:rFonts w:ascii="Verdana" w:hAnsi="Verdana"/>
          <w:sz w:val="22"/>
          <w:szCs w:val="22"/>
        </w:rPr>
      </w:pPr>
    </w:p>
    <w:p w14:paraId="4FD4B927" w14:textId="77777777" w:rsidR="0004625A" w:rsidRDefault="0004625A" w:rsidP="000827A3">
      <w:pPr>
        <w:rPr>
          <w:rFonts w:ascii="Verdana" w:hAnsi="Verdana"/>
          <w:sz w:val="22"/>
          <w:szCs w:val="22"/>
        </w:rPr>
      </w:pPr>
    </w:p>
    <w:p w14:paraId="2ECFE13D" w14:textId="77777777" w:rsidR="0004625A" w:rsidRDefault="0004625A" w:rsidP="000827A3">
      <w:pPr>
        <w:rPr>
          <w:rFonts w:ascii="Verdana" w:hAnsi="Verdana"/>
          <w:sz w:val="22"/>
          <w:szCs w:val="22"/>
        </w:rPr>
      </w:pPr>
    </w:p>
    <w:p w14:paraId="7800B35A" w14:textId="77777777" w:rsidR="0004625A" w:rsidRDefault="0004625A" w:rsidP="000827A3">
      <w:pPr>
        <w:rPr>
          <w:rFonts w:ascii="Verdana" w:hAnsi="Verdana"/>
          <w:sz w:val="22"/>
          <w:szCs w:val="22"/>
        </w:rPr>
      </w:pPr>
    </w:p>
    <w:p w14:paraId="4DED8DDD" w14:textId="77777777" w:rsidR="0004625A" w:rsidRDefault="0004625A" w:rsidP="000827A3">
      <w:pPr>
        <w:rPr>
          <w:rFonts w:ascii="Verdana" w:hAnsi="Verdana"/>
          <w:sz w:val="22"/>
          <w:szCs w:val="22"/>
        </w:rPr>
      </w:pPr>
    </w:p>
    <w:p w14:paraId="2D682F07" w14:textId="77777777" w:rsidR="0004625A" w:rsidRDefault="0004625A" w:rsidP="000827A3">
      <w:pPr>
        <w:rPr>
          <w:rFonts w:ascii="Verdana" w:hAnsi="Verdana"/>
          <w:sz w:val="22"/>
          <w:szCs w:val="22"/>
        </w:rPr>
      </w:pPr>
    </w:p>
    <w:p w14:paraId="10E0EDEC" w14:textId="77777777" w:rsidR="0004625A" w:rsidRDefault="0004625A" w:rsidP="000827A3">
      <w:pPr>
        <w:rPr>
          <w:rFonts w:ascii="Verdana" w:hAnsi="Verdana"/>
          <w:sz w:val="22"/>
          <w:szCs w:val="22"/>
        </w:rPr>
      </w:pPr>
    </w:p>
    <w:p w14:paraId="20142A10" w14:textId="77777777" w:rsidR="0004625A" w:rsidRDefault="0004625A" w:rsidP="000827A3">
      <w:pPr>
        <w:rPr>
          <w:rFonts w:ascii="Verdana" w:hAnsi="Verdana"/>
          <w:sz w:val="22"/>
          <w:szCs w:val="22"/>
        </w:rPr>
      </w:pPr>
    </w:p>
    <w:p w14:paraId="409E6B8C" w14:textId="77777777" w:rsidR="0004625A" w:rsidRDefault="0004625A" w:rsidP="000827A3">
      <w:pPr>
        <w:rPr>
          <w:rFonts w:ascii="Verdana" w:hAnsi="Verdana"/>
          <w:sz w:val="22"/>
          <w:szCs w:val="22"/>
        </w:rPr>
      </w:pPr>
    </w:p>
    <w:p w14:paraId="1890BB7E" w14:textId="77777777" w:rsidR="0004625A" w:rsidRDefault="0004625A" w:rsidP="000827A3">
      <w:pPr>
        <w:rPr>
          <w:rFonts w:ascii="Verdana" w:hAnsi="Verdana"/>
          <w:sz w:val="22"/>
          <w:szCs w:val="22"/>
        </w:rPr>
      </w:pPr>
    </w:p>
    <w:p w14:paraId="03759E41" w14:textId="77777777" w:rsidR="0004625A" w:rsidRDefault="0004625A" w:rsidP="000827A3">
      <w:pPr>
        <w:rPr>
          <w:rFonts w:ascii="Verdana" w:hAnsi="Verdana"/>
          <w:sz w:val="22"/>
          <w:szCs w:val="22"/>
        </w:rPr>
      </w:pPr>
    </w:p>
    <w:p w14:paraId="5244D00C" w14:textId="77777777" w:rsidR="0004625A" w:rsidRDefault="0004625A" w:rsidP="000827A3">
      <w:pPr>
        <w:rPr>
          <w:rFonts w:ascii="Verdana" w:hAnsi="Verdana"/>
          <w:sz w:val="22"/>
          <w:szCs w:val="22"/>
        </w:rPr>
      </w:pPr>
    </w:p>
    <w:p w14:paraId="34EE2B2F" w14:textId="77777777" w:rsidR="0004625A" w:rsidRDefault="0004625A" w:rsidP="000827A3">
      <w:pPr>
        <w:rPr>
          <w:rFonts w:ascii="Verdana" w:hAnsi="Verdana"/>
          <w:sz w:val="22"/>
          <w:szCs w:val="22"/>
        </w:rPr>
      </w:pPr>
    </w:p>
    <w:p w14:paraId="2FFB8736" w14:textId="77777777" w:rsidR="0004625A" w:rsidRDefault="0004625A" w:rsidP="000827A3">
      <w:pPr>
        <w:rPr>
          <w:rFonts w:ascii="Verdana" w:hAnsi="Verdana"/>
          <w:sz w:val="22"/>
          <w:szCs w:val="22"/>
        </w:rPr>
      </w:pPr>
    </w:p>
    <w:p w14:paraId="5F7EF3FD" w14:textId="77777777" w:rsidR="0004625A" w:rsidRDefault="0004625A" w:rsidP="000827A3">
      <w:pPr>
        <w:rPr>
          <w:rFonts w:ascii="Verdana" w:hAnsi="Verdana"/>
          <w:sz w:val="22"/>
          <w:szCs w:val="22"/>
        </w:rPr>
      </w:pPr>
    </w:p>
    <w:p w14:paraId="246314CB" w14:textId="77777777" w:rsidR="0004625A" w:rsidRDefault="0004625A" w:rsidP="000827A3">
      <w:pPr>
        <w:rPr>
          <w:rFonts w:ascii="Verdana" w:hAnsi="Verdana"/>
          <w:sz w:val="22"/>
          <w:szCs w:val="22"/>
        </w:rPr>
      </w:pPr>
    </w:p>
    <w:p w14:paraId="08216819" w14:textId="77777777" w:rsidR="0004625A" w:rsidRDefault="0004625A" w:rsidP="000827A3">
      <w:pPr>
        <w:rPr>
          <w:rFonts w:ascii="Verdana" w:hAnsi="Verdana"/>
          <w:sz w:val="22"/>
          <w:szCs w:val="22"/>
        </w:rPr>
      </w:pPr>
    </w:p>
    <w:p w14:paraId="04A32AFA" w14:textId="77777777" w:rsidR="0004625A" w:rsidRDefault="0004625A" w:rsidP="000827A3">
      <w:pPr>
        <w:rPr>
          <w:rFonts w:ascii="Verdana" w:hAnsi="Verdana"/>
          <w:sz w:val="22"/>
          <w:szCs w:val="22"/>
        </w:rPr>
      </w:pPr>
    </w:p>
    <w:p w14:paraId="02B46C86" w14:textId="77777777" w:rsidR="0004625A" w:rsidRDefault="0004625A" w:rsidP="000827A3">
      <w:pPr>
        <w:rPr>
          <w:rFonts w:ascii="Verdana" w:hAnsi="Verdana"/>
          <w:sz w:val="22"/>
          <w:szCs w:val="22"/>
        </w:rPr>
      </w:pPr>
    </w:p>
    <w:p w14:paraId="5EB410E4" w14:textId="77777777" w:rsidR="0004625A" w:rsidRDefault="0004625A" w:rsidP="000827A3">
      <w:pPr>
        <w:rPr>
          <w:rFonts w:ascii="Verdana" w:hAnsi="Verdana"/>
          <w:sz w:val="22"/>
          <w:szCs w:val="22"/>
        </w:rPr>
      </w:pPr>
    </w:p>
    <w:p w14:paraId="48FF87CA" w14:textId="77777777" w:rsidR="00B734AF" w:rsidRDefault="00B734AF" w:rsidP="000827A3">
      <w:pPr>
        <w:rPr>
          <w:rFonts w:ascii="Verdana" w:hAnsi="Verdana"/>
          <w:sz w:val="22"/>
          <w:szCs w:val="22"/>
        </w:rPr>
      </w:pPr>
    </w:p>
    <w:p w14:paraId="3CF8EE38" w14:textId="77777777" w:rsidR="0004625A" w:rsidRDefault="0004625A" w:rsidP="000827A3">
      <w:pPr>
        <w:rPr>
          <w:rFonts w:ascii="Verdana" w:hAnsi="Verdana"/>
          <w:sz w:val="22"/>
          <w:szCs w:val="22"/>
        </w:rPr>
      </w:pPr>
    </w:p>
    <w:p w14:paraId="34D7C0B2" w14:textId="77777777" w:rsidR="0004625A" w:rsidRDefault="0004625A" w:rsidP="000827A3">
      <w:pPr>
        <w:rPr>
          <w:rFonts w:ascii="Verdana" w:hAnsi="Verdana"/>
          <w:sz w:val="22"/>
          <w:szCs w:val="22"/>
        </w:rPr>
      </w:pPr>
    </w:p>
    <w:p w14:paraId="54084B26" w14:textId="77777777" w:rsidR="005654C2" w:rsidRDefault="005654C2" w:rsidP="0004625A">
      <w:pPr>
        <w:jc w:val="center"/>
        <w:rPr>
          <w:rFonts w:ascii="Verdana" w:hAnsi="Verdana"/>
          <w:b/>
          <w:sz w:val="22"/>
          <w:szCs w:val="22"/>
        </w:rPr>
      </w:pPr>
    </w:p>
    <w:p w14:paraId="5D37CC84" w14:textId="77777777" w:rsidR="00260729" w:rsidRDefault="00260729" w:rsidP="0004625A">
      <w:pPr>
        <w:jc w:val="center"/>
        <w:rPr>
          <w:rFonts w:ascii="Verdana" w:hAnsi="Verdana"/>
          <w:b/>
          <w:sz w:val="22"/>
          <w:szCs w:val="22"/>
        </w:rPr>
      </w:pPr>
    </w:p>
    <w:p w14:paraId="40ADCA61" w14:textId="77777777" w:rsidR="00260729" w:rsidRDefault="00260729" w:rsidP="0004625A">
      <w:pPr>
        <w:jc w:val="center"/>
        <w:rPr>
          <w:rFonts w:ascii="Verdana" w:hAnsi="Verdana"/>
          <w:b/>
          <w:sz w:val="22"/>
          <w:szCs w:val="22"/>
        </w:rPr>
      </w:pPr>
    </w:p>
    <w:p w14:paraId="55F6446B" w14:textId="77777777" w:rsidR="0004625A" w:rsidRPr="0004625A" w:rsidRDefault="0004625A" w:rsidP="0004625A">
      <w:pPr>
        <w:jc w:val="center"/>
        <w:rPr>
          <w:rFonts w:ascii="Verdana" w:hAnsi="Verdana"/>
          <w:b/>
          <w:sz w:val="22"/>
          <w:szCs w:val="22"/>
        </w:rPr>
      </w:pPr>
      <w:r w:rsidRPr="0004625A">
        <w:rPr>
          <w:rFonts w:ascii="Verdana" w:hAnsi="Verdana"/>
          <w:b/>
          <w:sz w:val="22"/>
          <w:szCs w:val="22"/>
        </w:rPr>
        <w:t xml:space="preserve">Documenting enquiries on </w:t>
      </w:r>
      <w:proofErr w:type="spellStart"/>
      <w:r w:rsidRPr="0004625A">
        <w:rPr>
          <w:rFonts w:ascii="Verdana" w:hAnsi="Verdana"/>
          <w:b/>
          <w:sz w:val="22"/>
          <w:szCs w:val="22"/>
        </w:rPr>
        <w:t>MiDatabank</w:t>
      </w:r>
      <w:proofErr w:type="spellEnd"/>
    </w:p>
    <w:p w14:paraId="63ABA64B" w14:textId="77777777" w:rsidR="0004625A" w:rsidRDefault="0004625A" w:rsidP="000827A3">
      <w:pPr>
        <w:rPr>
          <w:rFonts w:ascii="Verdana" w:hAnsi="Verdana"/>
          <w:sz w:val="22"/>
          <w:szCs w:val="22"/>
        </w:rPr>
      </w:pPr>
    </w:p>
    <w:p w14:paraId="4B177AE4" w14:textId="77777777" w:rsidR="000827A3" w:rsidRPr="00036352" w:rsidRDefault="000827A3" w:rsidP="000827A3">
      <w:pPr>
        <w:rPr>
          <w:rFonts w:ascii="Verdana" w:hAnsi="Verdana"/>
          <w:b/>
          <w:sz w:val="22"/>
          <w:szCs w:val="22"/>
        </w:rPr>
      </w:pPr>
      <w:r w:rsidRPr="00036352">
        <w:rPr>
          <w:rFonts w:ascii="Verdana" w:hAnsi="Verdana"/>
          <w:b/>
          <w:sz w:val="22"/>
          <w:szCs w:val="22"/>
        </w:rPr>
        <w:t>What is an enquiry</w:t>
      </w:r>
      <w:r w:rsidR="0004625A">
        <w:rPr>
          <w:rFonts w:ascii="Verdana" w:hAnsi="Verdana"/>
          <w:b/>
          <w:sz w:val="22"/>
          <w:szCs w:val="22"/>
        </w:rPr>
        <w:t>?</w:t>
      </w:r>
    </w:p>
    <w:p w14:paraId="5ED24907" w14:textId="77777777" w:rsidR="000827A3" w:rsidRPr="00036352" w:rsidRDefault="000827A3" w:rsidP="000827A3">
      <w:pPr>
        <w:rPr>
          <w:rFonts w:ascii="Verdana" w:hAnsi="Verdana"/>
          <w:b/>
          <w:sz w:val="22"/>
          <w:szCs w:val="22"/>
        </w:rPr>
      </w:pPr>
    </w:p>
    <w:p w14:paraId="44488755" w14:textId="77777777" w:rsidR="000827A3" w:rsidRDefault="000827A3" w:rsidP="000827A3">
      <w:pPr>
        <w:rPr>
          <w:rFonts w:ascii="Verdana" w:hAnsi="Verdana"/>
          <w:sz w:val="22"/>
          <w:szCs w:val="22"/>
        </w:rPr>
      </w:pPr>
      <w:r w:rsidRPr="00036352">
        <w:rPr>
          <w:rFonts w:ascii="Verdana" w:hAnsi="Verdana"/>
          <w:sz w:val="22"/>
          <w:szCs w:val="22"/>
        </w:rPr>
        <w:t xml:space="preserve">The </w:t>
      </w:r>
      <w:proofErr w:type="spellStart"/>
      <w:r w:rsidR="00496A9E" w:rsidRPr="00036352">
        <w:rPr>
          <w:rFonts w:ascii="Verdana" w:hAnsi="Verdana"/>
          <w:sz w:val="22"/>
          <w:szCs w:val="22"/>
        </w:rPr>
        <w:t>UKMi</w:t>
      </w:r>
      <w:proofErr w:type="spellEnd"/>
      <w:r w:rsidR="00496A9E" w:rsidRPr="00036352">
        <w:rPr>
          <w:rFonts w:ascii="Verdana" w:hAnsi="Verdana"/>
          <w:sz w:val="22"/>
          <w:szCs w:val="22"/>
        </w:rPr>
        <w:t xml:space="preserve"> CGWG has </w:t>
      </w:r>
      <w:r w:rsidR="0004625A">
        <w:rPr>
          <w:rFonts w:ascii="Verdana" w:hAnsi="Verdana"/>
          <w:sz w:val="22"/>
          <w:szCs w:val="22"/>
        </w:rPr>
        <w:t xml:space="preserve">previously </w:t>
      </w:r>
      <w:r w:rsidR="00496A9E" w:rsidRPr="00036352">
        <w:rPr>
          <w:rFonts w:ascii="Verdana" w:hAnsi="Verdana"/>
          <w:sz w:val="22"/>
          <w:szCs w:val="22"/>
        </w:rPr>
        <w:t xml:space="preserve">issued guidance on what should be documented as an enquiry (Appendix 1). </w:t>
      </w:r>
      <w:r w:rsidR="00036352" w:rsidRPr="00036352">
        <w:rPr>
          <w:rFonts w:ascii="Verdana" w:hAnsi="Verdana"/>
          <w:sz w:val="22"/>
          <w:szCs w:val="22"/>
        </w:rPr>
        <w:t xml:space="preserve">This states that ‘Any request for information or advice that requires any professional judgment/ knowledge or access to recognised </w:t>
      </w:r>
      <w:proofErr w:type="spellStart"/>
      <w:r w:rsidR="00036352" w:rsidRPr="00036352">
        <w:rPr>
          <w:rFonts w:ascii="Verdana" w:hAnsi="Verdana"/>
          <w:sz w:val="22"/>
          <w:szCs w:val="22"/>
        </w:rPr>
        <w:t>UKMi</w:t>
      </w:r>
      <w:proofErr w:type="spellEnd"/>
      <w:r w:rsidR="00036352" w:rsidRPr="00036352">
        <w:rPr>
          <w:rFonts w:ascii="Verdana" w:hAnsi="Verdana"/>
          <w:sz w:val="22"/>
          <w:szCs w:val="22"/>
        </w:rPr>
        <w:t xml:space="preserve"> reference sources about medicines whether it is a general enquiry e.g. for a presentation/review or for a specific patient’.</w:t>
      </w:r>
      <w:r w:rsidR="00036352">
        <w:rPr>
          <w:rFonts w:ascii="Verdana" w:hAnsi="Verdana"/>
          <w:sz w:val="22"/>
          <w:szCs w:val="22"/>
        </w:rPr>
        <w:t xml:space="preserve"> This guidance is not specific about where/how the enquiry should be documented.</w:t>
      </w:r>
    </w:p>
    <w:p w14:paraId="2D7C9009" w14:textId="77777777" w:rsidR="00036352" w:rsidRDefault="00036352" w:rsidP="000827A3">
      <w:pPr>
        <w:rPr>
          <w:rFonts w:ascii="Verdana" w:hAnsi="Verdana"/>
          <w:sz w:val="22"/>
          <w:szCs w:val="22"/>
        </w:rPr>
      </w:pPr>
    </w:p>
    <w:p w14:paraId="1EAE800A" w14:textId="77777777" w:rsidR="00036352" w:rsidRDefault="00036352" w:rsidP="00036352">
      <w:pPr>
        <w:rPr>
          <w:rFonts w:ascii="Verdana" w:hAnsi="Verdana"/>
          <w:b/>
          <w:sz w:val="22"/>
          <w:szCs w:val="22"/>
        </w:rPr>
      </w:pPr>
      <w:r>
        <w:rPr>
          <w:rFonts w:ascii="Verdana" w:hAnsi="Verdana"/>
          <w:b/>
          <w:sz w:val="22"/>
          <w:szCs w:val="22"/>
        </w:rPr>
        <w:t>Do we have a standard that says that all enquiries should be documented</w:t>
      </w:r>
      <w:r w:rsidR="0004625A">
        <w:rPr>
          <w:rFonts w:ascii="Verdana" w:hAnsi="Verdana"/>
          <w:b/>
          <w:sz w:val="22"/>
          <w:szCs w:val="22"/>
        </w:rPr>
        <w:t xml:space="preserve"> on </w:t>
      </w:r>
      <w:proofErr w:type="spellStart"/>
      <w:r w:rsidR="0004625A">
        <w:rPr>
          <w:rFonts w:ascii="Verdana" w:hAnsi="Verdana"/>
          <w:b/>
          <w:sz w:val="22"/>
          <w:szCs w:val="22"/>
        </w:rPr>
        <w:t>MiDatabank</w:t>
      </w:r>
      <w:proofErr w:type="spellEnd"/>
      <w:r>
        <w:rPr>
          <w:rFonts w:ascii="Verdana" w:hAnsi="Verdana"/>
          <w:b/>
          <w:sz w:val="22"/>
          <w:szCs w:val="22"/>
        </w:rPr>
        <w:t>?</w:t>
      </w:r>
    </w:p>
    <w:p w14:paraId="2772C026" w14:textId="77777777" w:rsidR="00036352" w:rsidRDefault="00036352" w:rsidP="00036352">
      <w:pPr>
        <w:rPr>
          <w:rFonts w:ascii="Verdana" w:hAnsi="Verdana"/>
          <w:b/>
          <w:sz w:val="22"/>
          <w:szCs w:val="22"/>
        </w:rPr>
      </w:pPr>
    </w:p>
    <w:p w14:paraId="78423457" w14:textId="77777777" w:rsidR="00036352" w:rsidRDefault="0004625A" w:rsidP="00036352">
      <w:pPr>
        <w:rPr>
          <w:rFonts w:ascii="Verdana" w:hAnsi="Verdana"/>
          <w:sz w:val="22"/>
          <w:szCs w:val="22"/>
        </w:rPr>
      </w:pPr>
      <w:r>
        <w:rPr>
          <w:rFonts w:ascii="Verdana" w:hAnsi="Verdana"/>
          <w:sz w:val="22"/>
          <w:szCs w:val="22"/>
        </w:rPr>
        <w:t>Although this is the intention t</w:t>
      </w:r>
      <w:r w:rsidR="00801FB0">
        <w:rPr>
          <w:rFonts w:ascii="Verdana" w:hAnsi="Verdana"/>
          <w:sz w:val="22"/>
          <w:szCs w:val="22"/>
        </w:rPr>
        <w:t xml:space="preserve">here is </w:t>
      </w:r>
      <w:r>
        <w:rPr>
          <w:rFonts w:ascii="Verdana" w:hAnsi="Verdana"/>
          <w:sz w:val="22"/>
          <w:szCs w:val="22"/>
        </w:rPr>
        <w:t xml:space="preserve">currently </w:t>
      </w:r>
      <w:r w:rsidR="00801FB0">
        <w:rPr>
          <w:rFonts w:ascii="Verdana" w:hAnsi="Verdana"/>
          <w:sz w:val="22"/>
          <w:szCs w:val="22"/>
        </w:rPr>
        <w:t>no standard that explicitly requires that all enquiries are documented.</w:t>
      </w:r>
      <w:r>
        <w:rPr>
          <w:rFonts w:ascii="Verdana" w:hAnsi="Verdana"/>
          <w:sz w:val="22"/>
          <w:szCs w:val="22"/>
        </w:rPr>
        <w:t xml:space="preserve"> A statement to this effect will be added to the audit toolkit at the next revision.</w:t>
      </w:r>
    </w:p>
    <w:p w14:paraId="1EDED2D6" w14:textId="77777777" w:rsidR="00801FB0" w:rsidRDefault="00801FB0" w:rsidP="00036352">
      <w:pPr>
        <w:rPr>
          <w:rFonts w:ascii="Verdana" w:hAnsi="Verdana"/>
          <w:sz w:val="22"/>
          <w:szCs w:val="22"/>
        </w:rPr>
      </w:pPr>
    </w:p>
    <w:p w14:paraId="654B1E80" w14:textId="77777777" w:rsidR="00801FB0" w:rsidRDefault="00801FB0" w:rsidP="00036352">
      <w:pPr>
        <w:rPr>
          <w:rFonts w:ascii="Verdana" w:hAnsi="Verdana"/>
          <w:b/>
          <w:sz w:val="22"/>
          <w:szCs w:val="22"/>
        </w:rPr>
      </w:pPr>
      <w:r>
        <w:rPr>
          <w:rFonts w:ascii="Verdana" w:hAnsi="Verdana"/>
          <w:b/>
          <w:sz w:val="22"/>
          <w:szCs w:val="22"/>
        </w:rPr>
        <w:t>Why should enquiries be documented</w:t>
      </w:r>
      <w:r w:rsidR="0004625A">
        <w:rPr>
          <w:rFonts w:ascii="Verdana" w:hAnsi="Verdana"/>
          <w:b/>
          <w:sz w:val="22"/>
          <w:szCs w:val="22"/>
        </w:rPr>
        <w:t>?</w:t>
      </w:r>
    </w:p>
    <w:p w14:paraId="0DDE0EA3" w14:textId="77777777" w:rsidR="00801FB0" w:rsidRDefault="00801FB0" w:rsidP="00036352">
      <w:pPr>
        <w:rPr>
          <w:rFonts w:ascii="Verdana" w:hAnsi="Verdana"/>
          <w:sz w:val="22"/>
          <w:szCs w:val="22"/>
        </w:rPr>
      </w:pPr>
    </w:p>
    <w:p w14:paraId="1AE4398A" w14:textId="41F98AC0" w:rsidR="00801FB0" w:rsidRDefault="00801FB0" w:rsidP="00036352">
      <w:pPr>
        <w:rPr>
          <w:rFonts w:ascii="Verdana" w:hAnsi="Verdana"/>
          <w:sz w:val="22"/>
          <w:szCs w:val="22"/>
        </w:rPr>
      </w:pPr>
      <w:r>
        <w:rPr>
          <w:rFonts w:ascii="Verdana" w:hAnsi="Verdana"/>
          <w:sz w:val="22"/>
          <w:szCs w:val="22"/>
        </w:rPr>
        <w:t>The</w:t>
      </w:r>
      <w:r w:rsidR="00587AC8">
        <w:rPr>
          <w:rFonts w:ascii="Verdana" w:hAnsi="Verdana"/>
          <w:sz w:val="22"/>
          <w:szCs w:val="22"/>
        </w:rPr>
        <w:t xml:space="preserve">re are a number of </w:t>
      </w:r>
      <w:r>
        <w:rPr>
          <w:rFonts w:ascii="Verdana" w:hAnsi="Verdana"/>
          <w:sz w:val="22"/>
          <w:szCs w:val="22"/>
        </w:rPr>
        <w:t>reasons:</w:t>
      </w:r>
    </w:p>
    <w:p w14:paraId="4080310F" w14:textId="77777777" w:rsidR="00076D1D" w:rsidRDefault="00076D1D" w:rsidP="00036352">
      <w:pPr>
        <w:rPr>
          <w:rFonts w:ascii="Verdana" w:hAnsi="Verdana"/>
          <w:sz w:val="22"/>
          <w:szCs w:val="22"/>
        </w:rPr>
      </w:pPr>
    </w:p>
    <w:p w14:paraId="10E6E2B2" w14:textId="77777777" w:rsidR="00076D1D" w:rsidRPr="001C365B" w:rsidRDefault="00076D1D" w:rsidP="001C365B">
      <w:pPr>
        <w:pStyle w:val="ListParagraph"/>
        <w:numPr>
          <w:ilvl w:val="0"/>
          <w:numId w:val="2"/>
        </w:numPr>
        <w:rPr>
          <w:rFonts w:ascii="Verdana" w:hAnsi="Verdana"/>
          <w:sz w:val="22"/>
          <w:szCs w:val="22"/>
        </w:rPr>
      </w:pPr>
      <w:r w:rsidRPr="001C365B">
        <w:rPr>
          <w:rFonts w:ascii="Verdana" w:hAnsi="Verdana"/>
          <w:b/>
          <w:sz w:val="22"/>
          <w:szCs w:val="22"/>
        </w:rPr>
        <w:t>Enquirer Returns</w:t>
      </w:r>
      <w:r w:rsidRPr="001C365B">
        <w:rPr>
          <w:rFonts w:ascii="Verdana" w:hAnsi="Verdana"/>
          <w:sz w:val="22"/>
          <w:szCs w:val="22"/>
        </w:rPr>
        <w:t>. If the enquirer forgets what you have said or loses your reply, and asks to be reminded of the answer, you have a record which means that you don’t have to do the enquiry a second time. In addition, the enquirer may come back to you with new details concerning a completed enquiry and ask you for new information.</w:t>
      </w:r>
    </w:p>
    <w:p w14:paraId="04937CC4" w14:textId="77777777" w:rsidR="00076D1D" w:rsidRPr="001C365B" w:rsidRDefault="00076D1D" w:rsidP="001C365B">
      <w:pPr>
        <w:pStyle w:val="ListParagraph"/>
        <w:numPr>
          <w:ilvl w:val="0"/>
          <w:numId w:val="2"/>
        </w:numPr>
        <w:rPr>
          <w:rFonts w:ascii="Verdana" w:hAnsi="Verdana"/>
          <w:sz w:val="22"/>
          <w:szCs w:val="22"/>
        </w:rPr>
      </w:pPr>
      <w:r w:rsidRPr="001C365B">
        <w:rPr>
          <w:rFonts w:ascii="Verdana" w:hAnsi="Verdana"/>
          <w:b/>
          <w:sz w:val="22"/>
          <w:szCs w:val="22"/>
        </w:rPr>
        <w:t>Work-saving</w:t>
      </w:r>
      <w:r w:rsidRPr="001C365B">
        <w:rPr>
          <w:rFonts w:ascii="Verdana" w:hAnsi="Verdana"/>
          <w:sz w:val="22"/>
          <w:szCs w:val="22"/>
        </w:rPr>
        <w:t>. If you are asked a similar enquiry by someone else at a later date, looking back at an enquiry you have already done can give you a head start.</w:t>
      </w:r>
    </w:p>
    <w:p w14:paraId="2926243A" w14:textId="77777777" w:rsidR="00076D1D" w:rsidRPr="001C365B" w:rsidRDefault="00076D1D" w:rsidP="001C365B">
      <w:pPr>
        <w:pStyle w:val="ListParagraph"/>
        <w:numPr>
          <w:ilvl w:val="0"/>
          <w:numId w:val="2"/>
        </w:numPr>
        <w:rPr>
          <w:rFonts w:ascii="Verdana" w:hAnsi="Verdana"/>
          <w:sz w:val="22"/>
          <w:szCs w:val="22"/>
        </w:rPr>
      </w:pPr>
      <w:r w:rsidRPr="001C365B">
        <w:rPr>
          <w:rFonts w:ascii="Verdana" w:hAnsi="Verdana"/>
          <w:b/>
          <w:sz w:val="22"/>
          <w:szCs w:val="22"/>
        </w:rPr>
        <w:t>Complaints</w:t>
      </w:r>
      <w:r w:rsidRPr="001C365B">
        <w:rPr>
          <w:rFonts w:ascii="Verdana" w:hAnsi="Verdana"/>
          <w:sz w:val="22"/>
          <w:szCs w:val="22"/>
        </w:rPr>
        <w:t>. If an enquirer complains that you gave an incorrect or misleading answer, or were slow to respond, you have documentation to support how you acted. This is also important if what you did had any impact on a legal case.</w:t>
      </w:r>
    </w:p>
    <w:p w14:paraId="37488150" w14:textId="77777777" w:rsidR="00076D1D" w:rsidRPr="001C365B" w:rsidRDefault="00076D1D" w:rsidP="001C365B">
      <w:pPr>
        <w:pStyle w:val="ListParagraph"/>
        <w:numPr>
          <w:ilvl w:val="0"/>
          <w:numId w:val="2"/>
        </w:numPr>
        <w:rPr>
          <w:rFonts w:ascii="Verdana" w:hAnsi="Verdana"/>
          <w:sz w:val="22"/>
          <w:szCs w:val="22"/>
        </w:rPr>
      </w:pPr>
      <w:r w:rsidRPr="001C365B">
        <w:rPr>
          <w:rFonts w:ascii="Verdana" w:hAnsi="Verdana"/>
          <w:b/>
          <w:sz w:val="22"/>
          <w:szCs w:val="22"/>
        </w:rPr>
        <w:t>Education</w:t>
      </w:r>
      <w:r w:rsidRPr="001C365B">
        <w:rPr>
          <w:rFonts w:ascii="Verdana" w:hAnsi="Verdana"/>
          <w:sz w:val="22"/>
          <w:szCs w:val="22"/>
        </w:rPr>
        <w:t>. Recording enquiries gives MI pharmacists a basis for training staff that are new to MI: completed enquiries can be used to show pharmacists and technicians ‘how to do it’ and illustrates the range of enquiries that are asked. Completed enquiries can also be used as articles in bulletins or at training events.</w:t>
      </w:r>
    </w:p>
    <w:p w14:paraId="7395B566" w14:textId="77777777" w:rsidR="00076D1D" w:rsidRPr="00E625F0" w:rsidRDefault="00076D1D" w:rsidP="001C365B">
      <w:pPr>
        <w:pStyle w:val="ListParagraph"/>
        <w:numPr>
          <w:ilvl w:val="0"/>
          <w:numId w:val="2"/>
        </w:numPr>
        <w:rPr>
          <w:rFonts w:ascii="Verdana" w:hAnsi="Verdana"/>
          <w:sz w:val="22"/>
          <w:szCs w:val="22"/>
        </w:rPr>
      </w:pPr>
      <w:r w:rsidRPr="001C365B">
        <w:rPr>
          <w:rFonts w:ascii="Verdana" w:hAnsi="Verdana"/>
          <w:b/>
          <w:sz w:val="22"/>
          <w:szCs w:val="22"/>
        </w:rPr>
        <w:t>Workload Statistics</w:t>
      </w:r>
      <w:r w:rsidRPr="001C365B">
        <w:rPr>
          <w:rFonts w:ascii="Verdana" w:hAnsi="Verdana"/>
          <w:sz w:val="22"/>
          <w:szCs w:val="22"/>
        </w:rPr>
        <w:t xml:space="preserve">. Documenting enquiries enables MI pharmacists to provide workload statistics to support their value to the healthcare community. Some </w:t>
      </w:r>
      <w:r w:rsidR="005654C2">
        <w:rPr>
          <w:rFonts w:ascii="Verdana" w:hAnsi="Verdana"/>
          <w:sz w:val="22"/>
          <w:szCs w:val="22"/>
        </w:rPr>
        <w:t>commissioners</w:t>
      </w:r>
      <w:r w:rsidR="005654C2" w:rsidRPr="001C365B">
        <w:rPr>
          <w:rFonts w:ascii="Verdana" w:hAnsi="Verdana"/>
          <w:sz w:val="22"/>
          <w:szCs w:val="22"/>
        </w:rPr>
        <w:t xml:space="preserve"> </w:t>
      </w:r>
      <w:r w:rsidRPr="001C365B">
        <w:rPr>
          <w:rFonts w:ascii="Verdana" w:hAnsi="Verdana"/>
          <w:sz w:val="22"/>
          <w:szCs w:val="22"/>
        </w:rPr>
        <w:t>may make it a requirement of funding the service that such data are made available.</w:t>
      </w:r>
      <w:r w:rsidR="006E611B">
        <w:rPr>
          <w:rFonts w:ascii="Verdana" w:hAnsi="Verdana"/>
          <w:sz w:val="22"/>
          <w:szCs w:val="22"/>
        </w:rPr>
        <w:t xml:space="preserve"> </w:t>
      </w:r>
      <w:r w:rsidR="00284291">
        <w:rPr>
          <w:rFonts w:ascii="Verdana" w:hAnsi="Verdana"/>
          <w:sz w:val="22"/>
          <w:szCs w:val="22"/>
        </w:rPr>
        <w:t>Documenting workload may be even more important in the light of the recommendations of Lord Carter of Coles report and their implications for the provision of MI services.</w:t>
      </w:r>
      <w:r w:rsidR="00284291">
        <w:rPr>
          <w:rFonts w:ascii="Verdana" w:hAnsi="Verdana"/>
          <w:sz w:val="22"/>
          <w:szCs w:val="22"/>
          <w:vertAlign w:val="superscript"/>
        </w:rPr>
        <w:t>1</w:t>
      </w:r>
      <w:r w:rsidR="0015219E">
        <w:rPr>
          <w:rFonts w:ascii="Verdana" w:hAnsi="Verdana"/>
          <w:sz w:val="22"/>
          <w:szCs w:val="22"/>
        </w:rPr>
        <w:t xml:space="preserve"> The RPS benchmarking metrics for acute hospitals</w:t>
      </w:r>
      <w:r w:rsidR="0015219E">
        <w:rPr>
          <w:rFonts w:ascii="Verdana" w:hAnsi="Verdana"/>
          <w:sz w:val="22"/>
          <w:szCs w:val="22"/>
          <w:vertAlign w:val="superscript"/>
        </w:rPr>
        <w:t>2</w:t>
      </w:r>
      <w:r w:rsidR="0015219E">
        <w:rPr>
          <w:rFonts w:ascii="Verdana" w:hAnsi="Verdana"/>
          <w:sz w:val="22"/>
          <w:szCs w:val="22"/>
        </w:rPr>
        <w:t xml:space="preserve"> highlights that patient </w:t>
      </w:r>
      <w:r w:rsidR="0015219E">
        <w:rPr>
          <w:rFonts w:ascii="Verdana" w:hAnsi="Verdana"/>
          <w:sz w:val="22"/>
          <w:szCs w:val="22"/>
        </w:rPr>
        <w:lastRenderedPageBreak/>
        <w:t>focussed medicines information enquiries are considered a clinical activity</w:t>
      </w:r>
      <w:r w:rsidR="00C24730">
        <w:rPr>
          <w:rFonts w:ascii="Verdana" w:hAnsi="Verdana"/>
          <w:sz w:val="22"/>
          <w:szCs w:val="22"/>
        </w:rPr>
        <w:t xml:space="preserve"> and time taken to complete these should be included in the metric “% pharmacist time spent on clinical activities”. This is very easy to report on if all enquiries are entered in </w:t>
      </w:r>
      <w:proofErr w:type="spellStart"/>
      <w:r w:rsidR="00C24730">
        <w:rPr>
          <w:rFonts w:ascii="Verdana" w:hAnsi="Verdana"/>
          <w:sz w:val="22"/>
          <w:szCs w:val="22"/>
        </w:rPr>
        <w:t>MiDatabank</w:t>
      </w:r>
      <w:proofErr w:type="spellEnd"/>
      <w:r w:rsidR="00C24730">
        <w:rPr>
          <w:rFonts w:ascii="Verdana" w:hAnsi="Verdana"/>
          <w:sz w:val="22"/>
          <w:szCs w:val="22"/>
        </w:rPr>
        <w:t>.</w:t>
      </w:r>
    </w:p>
    <w:p w14:paraId="515CF401" w14:textId="77777777" w:rsidR="007E47DE" w:rsidRDefault="00E625F0" w:rsidP="001C365B">
      <w:pPr>
        <w:pStyle w:val="ListParagraph"/>
        <w:numPr>
          <w:ilvl w:val="0"/>
          <w:numId w:val="2"/>
        </w:numPr>
        <w:rPr>
          <w:rFonts w:ascii="Verdana" w:hAnsi="Verdana"/>
          <w:sz w:val="22"/>
          <w:szCs w:val="22"/>
        </w:rPr>
      </w:pPr>
      <w:r>
        <w:rPr>
          <w:rFonts w:ascii="Verdana" w:hAnsi="Verdana"/>
          <w:b/>
          <w:sz w:val="22"/>
          <w:szCs w:val="22"/>
        </w:rPr>
        <w:t>Specialities</w:t>
      </w:r>
      <w:r w:rsidRPr="00E625F0">
        <w:rPr>
          <w:rFonts w:ascii="Verdana" w:hAnsi="Verdana"/>
          <w:sz w:val="22"/>
          <w:szCs w:val="22"/>
        </w:rPr>
        <w:t>.</w:t>
      </w:r>
      <w:r>
        <w:rPr>
          <w:rFonts w:ascii="Verdana" w:hAnsi="Verdana"/>
          <w:sz w:val="22"/>
          <w:szCs w:val="22"/>
        </w:rPr>
        <w:t xml:space="preserve"> Provision of information on local custom and practice may not be recorded as it may be viewed as routine for the specific centre.</w:t>
      </w:r>
    </w:p>
    <w:p w14:paraId="6A073AE8" w14:textId="0C0E4C2A" w:rsidR="00C33EAD" w:rsidRPr="00C33EAD" w:rsidRDefault="007E47DE" w:rsidP="001C365B">
      <w:pPr>
        <w:pStyle w:val="ListParagraph"/>
        <w:numPr>
          <w:ilvl w:val="0"/>
          <w:numId w:val="2"/>
        </w:numPr>
        <w:rPr>
          <w:rFonts w:ascii="Verdana" w:hAnsi="Verdana"/>
          <w:sz w:val="22"/>
          <w:szCs w:val="22"/>
        </w:rPr>
      </w:pPr>
      <w:r>
        <w:rPr>
          <w:rFonts w:ascii="Verdana" w:hAnsi="Verdana"/>
          <w:b/>
          <w:sz w:val="22"/>
          <w:szCs w:val="22"/>
        </w:rPr>
        <w:t>User Satisfaction Survey</w:t>
      </w:r>
      <w:r w:rsidR="005654C2">
        <w:rPr>
          <w:rFonts w:ascii="Verdana" w:hAnsi="Verdana"/>
          <w:sz w:val="22"/>
          <w:szCs w:val="22"/>
        </w:rPr>
        <w:t>.</w:t>
      </w:r>
      <w:r>
        <w:rPr>
          <w:rFonts w:ascii="Verdana" w:hAnsi="Verdana"/>
          <w:sz w:val="22"/>
          <w:szCs w:val="22"/>
        </w:rPr>
        <w:t xml:space="preserve"> May become unrepresentative of overall workload as questionnaires can only be sent out for recorded enquiries. </w:t>
      </w:r>
      <w:r w:rsidR="00E625F0">
        <w:rPr>
          <w:rFonts w:ascii="Verdana" w:hAnsi="Verdana"/>
          <w:sz w:val="22"/>
          <w:szCs w:val="22"/>
        </w:rPr>
        <w:t xml:space="preserve">  </w:t>
      </w:r>
    </w:p>
    <w:p w14:paraId="326BC69A" w14:textId="77777777" w:rsidR="00284291" w:rsidRDefault="00284291" w:rsidP="00284291">
      <w:pPr>
        <w:pStyle w:val="ListParagraph"/>
        <w:rPr>
          <w:rFonts w:ascii="Verdana" w:hAnsi="Verdana"/>
          <w:sz w:val="22"/>
          <w:szCs w:val="22"/>
        </w:rPr>
      </w:pPr>
    </w:p>
    <w:p w14:paraId="6BAEC022" w14:textId="77777777" w:rsidR="001C365B" w:rsidRDefault="001C365B" w:rsidP="00076D1D">
      <w:pPr>
        <w:rPr>
          <w:rFonts w:ascii="Verdana" w:hAnsi="Verdana"/>
          <w:sz w:val="22"/>
          <w:szCs w:val="22"/>
        </w:rPr>
      </w:pPr>
    </w:p>
    <w:p w14:paraId="2A0DCF6A" w14:textId="77777777" w:rsidR="001C365B" w:rsidRDefault="001C365B" w:rsidP="00076D1D">
      <w:pPr>
        <w:rPr>
          <w:rFonts w:ascii="Verdana" w:hAnsi="Verdana"/>
          <w:b/>
          <w:sz w:val="22"/>
          <w:szCs w:val="22"/>
        </w:rPr>
      </w:pPr>
      <w:r w:rsidRPr="001C365B">
        <w:rPr>
          <w:rFonts w:ascii="Verdana" w:hAnsi="Verdana"/>
          <w:b/>
          <w:sz w:val="22"/>
          <w:szCs w:val="22"/>
        </w:rPr>
        <w:t xml:space="preserve">Why are some centres choosing not to document </w:t>
      </w:r>
      <w:r w:rsidR="006E611B">
        <w:rPr>
          <w:rFonts w:ascii="Verdana" w:hAnsi="Verdana"/>
          <w:b/>
          <w:sz w:val="22"/>
          <w:szCs w:val="22"/>
        </w:rPr>
        <w:t>simple</w:t>
      </w:r>
      <w:r w:rsidRPr="001C365B">
        <w:rPr>
          <w:rFonts w:ascii="Verdana" w:hAnsi="Verdana"/>
          <w:b/>
          <w:sz w:val="22"/>
          <w:szCs w:val="22"/>
        </w:rPr>
        <w:t xml:space="preserve"> enquiries on </w:t>
      </w:r>
      <w:proofErr w:type="spellStart"/>
      <w:r w:rsidRPr="001C365B">
        <w:rPr>
          <w:rFonts w:ascii="Verdana" w:hAnsi="Verdana"/>
          <w:b/>
          <w:sz w:val="22"/>
          <w:szCs w:val="22"/>
        </w:rPr>
        <w:t>MiDatabank</w:t>
      </w:r>
      <w:proofErr w:type="spellEnd"/>
      <w:r w:rsidRPr="001C365B">
        <w:rPr>
          <w:rFonts w:ascii="Verdana" w:hAnsi="Verdana"/>
          <w:b/>
          <w:sz w:val="22"/>
          <w:szCs w:val="22"/>
        </w:rPr>
        <w:t>?</w:t>
      </w:r>
    </w:p>
    <w:p w14:paraId="6EDAE11C" w14:textId="77777777" w:rsidR="001C365B" w:rsidRDefault="001C365B" w:rsidP="00076D1D">
      <w:pPr>
        <w:rPr>
          <w:rFonts w:ascii="Verdana" w:hAnsi="Verdana"/>
          <w:b/>
          <w:sz w:val="22"/>
          <w:szCs w:val="22"/>
        </w:rPr>
      </w:pPr>
    </w:p>
    <w:p w14:paraId="5DFAD393" w14:textId="77777777" w:rsidR="001C365B" w:rsidRDefault="001C365B" w:rsidP="00076D1D">
      <w:pPr>
        <w:rPr>
          <w:rFonts w:ascii="Verdana" w:hAnsi="Verdana"/>
          <w:sz w:val="22"/>
          <w:szCs w:val="22"/>
        </w:rPr>
      </w:pPr>
      <w:r>
        <w:rPr>
          <w:rFonts w:ascii="Verdana" w:hAnsi="Verdana"/>
          <w:sz w:val="22"/>
          <w:szCs w:val="22"/>
        </w:rPr>
        <w:t xml:space="preserve">Anecdotally this would seem to be because they perceive that the time taken to document the enquiry on </w:t>
      </w:r>
      <w:proofErr w:type="spellStart"/>
      <w:r>
        <w:rPr>
          <w:rFonts w:ascii="Verdana" w:hAnsi="Verdana"/>
          <w:sz w:val="22"/>
          <w:szCs w:val="22"/>
        </w:rPr>
        <w:t>MiDatabank</w:t>
      </w:r>
      <w:proofErr w:type="spellEnd"/>
      <w:r>
        <w:rPr>
          <w:rFonts w:ascii="Verdana" w:hAnsi="Verdana"/>
          <w:sz w:val="22"/>
          <w:szCs w:val="22"/>
        </w:rPr>
        <w:t xml:space="preserve"> is disproportionate to the amount of time spent answering the enquiry. </w:t>
      </w:r>
    </w:p>
    <w:p w14:paraId="7A939786" w14:textId="77777777" w:rsidR="00A46F09" w:rsidRDefault="00A46F09" w:rsidP="00076D1D">
      <w:pPr>
        <w:rPr>
          <w:rFonts w:ascii="Verdana" w:hAnsi="Verdana"/>
          <w:sz w:val="22"/>
          <w:szCs w:val="22"/>
        </w:rPr>
      </w:pPr>
    </w:p>
    <w:p w14:paraId="0B28E9D1" w14:textId="77777777" w:rsidR="00A46F09" w:rsidRDefault="00A46F09" w:rsidP="00076D1D">
      <w:pPr>
        <w:rPr>
          <w:rFonts w:ascii="Verdana" w:hAnsi="Verdana"/>
          <w:sz w:val="22"/>
          <w:szCs w:val="22"/>
        </w:rPr>
      </w:pPr>
      <w:r>
        <w:rPr>
          <w:rFonts w:ascii="Verdana" w:hAnsi="Verdana"/>
          <w:sz w:val="22"/>
          <w:szCs w:val="22"/>
        </w:rPr>
        <w:t xml:space="preserve">There would also appear to be a concern that only documenting one resource </w:t>
      </w:r>
      <w:proofErr w:type="spellStart"/>
      <w:r>
        <w:rPr>
          <w:rFonts w:ascii="Verdana" w:hAnsi="Verdana"/>
          <w:sz w:val="22"/>
          <w:szCs w:val="22"/>
        </w:rPr>
        <w:t>eg</w:t>
      </w:r>
      <w:proofErr w:type="spellEnd"/>
      <w:r>
        <w:rPr>
          <w:rFonts w:ascii="Verdana" w:hAnsi="Verdana"/>
          <w:sz w:val="22"/>
          <w:szCs w:val="22"/>
        </w:rPr>
        <w:t xml:space="preserve"> own knowledge on </w:t>
      </w:r>
      <w:proofErr w:type="spellStart"/>
      <w:r>
        <w:rPr>
          <w:rFonts w:ascii="Verdana" w:hAnsi="Verdana"/>
          <w:sz w:val="22"/>
          <w:szCs w:val="22"/>
        </w:rPr>
        <w:t>MiDatabank</w:t>
      </w:r>
      <w:proofErr w:type="spellEnd"/>
      <w:r>
        <w:rPr>
          <w:rFonts w:ascii="Verdana" w:hAnsi="Verdana"/>
          <w:sz w:val="22"/>
          <w:szCs w:val="22"/>
        </w:rPr>
        <w:t xml:space="preserve"> is inappropriate and that additional resources would need to be consulted and documented if the enquiry was to be entered onto </w:t>
      </w:r>
      <w:proofErr w:type="spellStart"/>
      <w:r>
        <w:rPr>
          <w:rFonts w:ascii="Verdana" w:hAnsi="Verdana"/>
          <w:sz w:val="22"/>
          <w:szCs w:val="22"/>
        </w:rPr>
        <w:t>MiDatabank</w:t>
      </w:r>
      <w:proofErr w:type="spellEnd"/>
      <w:r>
        <w:rPr>
          <w:rFonts w:ascii="Verdana" w:hAnsi="Verdana"/>
          <w:sz w:val="22"/>
          <w:szCs w:val="22"/>
        </w:rPr>
        <w:t xml:space="preserve">. </w:t>
      </w:r>
    </w:p>
    <w:p w14:paraId="3B9EAD66" w14:textId="77777777" w:rsidR="00A46F09" w:rsidRDefault="00A46F09" w:rsidP="00076D1D">
      <w:pPr>
        <w:rPr>
          <w:rFonts w:ascii="Verdana" w:hAnsi="Verdana"/>
          <w:sz w:val="22"/>
          <w:szCs w:val="22"/>
        </w:rPr>
      </w:pPr>
    </w:p>
    <w:p w14:paraId="516EFDEB" w14:textId="126221B8" w:rsidR="00A46F09" w:rsidRPr="00A46F09" w:rsidRDefault="00A46F09" w:rsidP="00076D1D">
      <w:pPr>
        <w:rPr>
          <w:rFonts w:ascii="Verdana" w:hAnsi="Verdana"/>
          <w:sz w:val="22"/>
          <w:szCs w:val="22"/>
        </w:rPr>
      </w:pPr>
      <w:r>
        <w:rPr>
          <w:rFonts w:ascii="Verdana" w:hAnsi="Verdana"/>
          <w:sz w:val="22"/>
          <w:szCs w:val="22"/>
        </w:rPr>
        <w:t xml:space="preserve">Related to the above is a view that only documenting one resource on </w:t>
      </w:r>
      <w:proofErr w:type="spellStart"/>
      <w:r>
        <w:rPr>
          <w:rFonts w:ascii="Verdana" w:hAnsi="Verdana"/>
          <w:sz w:val="22"/>
          <w:szCs w:val="22"/>
        </w:rPr>
        <w:t>MiDatabank</w:t>
      </w:r>
      <w:proofErr w:type="spellEnd"/>
      <w:r>
        <w:rPr>
          <w:rFonts w:ascii="Verdana" w:hAnsi="Verdana"/>
          <w:sz w:val="22"/>
          <w:szCs w:val="22"/>
        </w:rPr>
        <w:t xml:space="preserve"> </w:t>
      </w:r>
      <w:proofErr w:type="spellStart"/>
      <w:r>
        <w:rPr>
          <w:rFonts w:ascii="Verdana" w:hAnsi="Verdana"/>
          <w:sz w:val="22"/>
          <w:szCs w:val="22"/>
        </w:rPr>
        <w:t>eg</w:t>
      </w:r>
      <w:proofErr w:type="spellEnd"/>
      <w:r>
        <w:rPr>
          <w:rFonts w:ascii="Verdana" w:hAnsi="Verdana"/>
          <w:sz w:val="22"/>
          <w:szCs w:val="22"/>
        </w:rPr>
        <w:t xml:space="preserve"> own knowledge </w:t>
      </w:r>
      <w:r w:rsidRPr="00A46F09">
        <w:rPr>
          <w:rFonts w:ascii="Verdana" w:hAnsi="Verdana"/>
          <w:sz w:val="22"/>
          <w:szCs w:val="22"/>
        </w:rPr>
        <w:t xml:space="preserve">may </w:t>
      </w:r>
      <w:r>
        <w:rPr>
          <w:rFonts w:ascii="Verdana" w:hAnsi="Verdana"/>
          <w:sz w:val="22"/>
          <w:szCs w:val="22"/>
        </w:rPr>
        <w:t>be viewed unfavourably</w:t>
      </w:r>
      <w:r w:rsidRPr="00A46F09">
        <w:rPr>
          <w:rFonts w:ascii="Verdana" w:hAnsi="Verdana"/>
          <w:sz w:val="22"/>
          <w:szCs w:val="22"/>
        </w:rPr>
        <w:t xml:space="preserve"> in an audit.</w:t>
      </w:r>
      <w:r w:rsidR="00C24730">
        <w:rPr>
          <w:rFonts w:ascii="Verdana" w:hAnsi="Verdana"/>
          <w:sz w:val="22"/>
          <w:szCs w:val="22"/>
        </w:rPr>
        <w:t xml:space="preserve">  This is not the case; as long as this approach is justifi</w:t>
      </w:r>
      <w:r w:rsidR="00C33EAD">
        <w:rPr>
          <w:rFonts w:ascii="Verdana" w:hAnsi="Verdana"/>
          <w:sz w:val="22"/>
          <w:szCs w:val="22"/>
        </w:rPr>
        <w:t>able</w:t>
      </w:r>
      <w:r w:rsidR="00C24730">
        <w:rPr>
          <w:rFonts w:ascii="Verdana" w:hAnsi="Verdana"/>
          <w:sz w:val="22"/>
          <w:szCs w:val="22"/>
        </w:rPr>
        <w:t>.</w:t>
      </w:r>
      <w:r w:rsidR="00587AC8">
        <w:rPr>
          <w:rFonts w:ascii="Verdana" w:hAnsi="Verdana"/>
          <w:sz w:val="22"/>
          <w:szCs w:val="22"/>
        </w:rPr>
        <w:t xml:space="preserve"> It may be helpful to consider adding a standard statement that the one resource was considered appropriate at the time of answering. </w:t>
      </w:r>
    </w:p>
    <w:p w14:paraId="2A0FEE60" w14:textId="77777777" w:rsidR="00503FE4" w:rsidRDefault="00503FE4" w:rsidP="00076D1D">
      <w:pPr>
        <w:rPr>
          <w:rFonts w:ascii="Verdana" w:hAnsi="Verdana"/>
          <w:sz w:val="22"/>
          <w:szCs w:val="22"/>
        </w:rPr>
      </w:pPr>
    </w:p>
    <w:p w14:paraId="40388FB9" w14:textId="390CFD25" w:rsidR="00503FE4" w:rsidRDefault="00503FE4" w:rsidP="00076D1D">
      <w:pPr>
        <w:rPr>
          <w:rFonts w:ascii="Verdana" w:hAnsi="Verdana"/>
          <w:sz w:val="22"/>
          <w:szCs w:val="22"/>
        </w:rPr>
      </w:pPr>
      <w:r>
        <w:rPr>
          <w:rFonts w:ascii="Verdana" w:hAnsi="Verdana"/>
          <w:sz w:val="22"/>
          <w:szCs w:val="22"/>
        </w:rPr>
        <w:t xml:space="preserve">There may also be a view that </w:t>
      </w:r>
      <w:r w:rsidR="00284291">
        <w:rPr>
          <w:rFonts w:ascii="Verdana" w:hAnsi="Verdana"/>
          <w:sz w:val="22"/>
          <w:szCs w:val="22"/>
        </w:rPr>
        <w:t>simple</w:t>
      </w:r>
      <w:r>
        <w:rPr>
          <w:rFonts w:ascii="Verdana" w:hAnsi="Verdana"/>
          <w:sz w:val="22"/>
          <w:szCs w:val="22"/>
        </w:rPr>
        <w:t xml:space="preserve"> enquiries are unlikely to have a significant impact on patient care. However anecdotal evidence from published </w:t>
      </w:r>
      <w:r w:rsidR="00587AC8">
        <w:rPr>
          <w:rFonts w:ascii="Verdana" w:hAnsi="Verdana"/>
          <w:sz w:val="22"/>
          <w:szCs w:val="22"/>
        </w:rPr>
        <w:t xml:space="preserve">studies </w:t>
      </w:r>
      <w:r>
        <w:rPr>
          <w:rFonts w:ascii="Verdana" w:hAnsi="Verdana"/>
          <w:sz w:val="22"/>
          <w:szCs w:val="22"/>
        </w:rPr>
        <w:t>of the impact of MI on patient care, clinical outcomes and medicines safety</w:t>
      </w:r>
      <w:r w:rsidR="0015219E">
        <w:rPr>
          <w:rFonts w:ascii="Verdana" w:hAnsi="Verdana"/>
          <w:sz w:val="22"/>
          <w:szCs w:val="22"/>
          <w:vertAlign w:val="superscript"/>
        </w:rPr>
        <w:t>3</w:t>
      </w:r>
      <w:proofErr w:type="gramStart"/>
      <w:r w:rsidR="00587AC8">
        <w:rPr>
          <w:rFonts w:ascii="Verdana" w:hAnsi="Verdana"/>
          <w:sz w:val="22"/>
          <w:szCs w:val="22"/>
          <w:vertAlign w:val="superscript"/>
        </w:rPr>
        <w:t>,4</w:t>
      </w:r>
      <w:proofErr w:type="gramEnd"/>
      <w:r w:rsidR="00284291">
        <w:rPr>
          <w:rFonts w:ascii="Verdana" w:hAnsi="Verdana"/>
          <w:sz w:val="22"/>
          <w:szCs w:val="22"/>
        </w:rPr>
        <w:t xml:space="preserve"> found that some, apparently, simple </w:t>
      </w:r>
      <w:r>
        <w:rPr>
          <w:rFonts w:ascii="Verdana" w:hAnsi="Verdana"/>
          <w:sz w:val="22"/>
          <w:szCs w:val="22"/>
        </w:rPr>
        <w:t>enquiries were considered by expert panels to have a relatively high positive impact.</w:t>
      </w:r>
    </w:p>
    <w:p w14:paraId="54EE848C" w14:textId="77777777" w:rsidR="00C24730" w:rsidRDefault="00C24730" w:rsidP="00076D1D">
      <w:pPr>
        <w:rPr>
          <w:rFonts w:ascii="Verdana" w:hAnsi="Verdana"/>
          <w:sz w:val="22"/>
          <w:szCs w:val="22"/>
        </w:rPr>
      </w:pPr>
    </w:p>
    <w:p w14:paraId="3F86627C" w14:textId="77777777" w:rsidR="001C365B" w:rsidRDefault="001C365B" w:rsidP="00076D1D">
      <w:pPr>
        <w:rPr>
          <w:rFonts w:ascii="Verdana" w:hAnsi="Verdana"/>
          <w:sz w:val="22"/>
          <w:szCs w:val="22"/>
        </w:rPr>
      </w:pPr>
    </w:p>
    <w:p w14:paraId="217CF5C8" w14:textId="77777777" w:rsidR="001C365B" w:rsidRDefault="001C365B" w:rsidP="00076D1D">
      <w:pPr>
        <w:rPr>
          <w:rFonts w:ascii="Verdana" w:hAnsi="Verdana"/>
          <w:b/>
          <w:sz w:val="22"/>
          <w:szCs w:val="22"/>
        </w:rPr>
      </w:pPr>
      <w:r w:rsidRPr="001C365B">
        <w:rPr>
          <w:rFonts w:ascii="Verdana" w:hAnsi="Verdana"/>
          <w:b/>
          <w:sz w:val="22"/>
          <w:szCs w:val="22"/>
        </w:rPr>
        <w:t>What are the risk</w:t>
      </w:r>
      <w:r w:rsidR="00FA7588">
        <w:rPr>
          <w:rFonts w:ascii="Verdana" w:hAnsi="Verdana"/>
          <w:b/>
          <w:sz w:val="22"/>
          <w:szCs w:val="22"/>
        </w:rPr>
        <w:t>s</w:t>
      </w:r>
      <w:r w:rsidRPr="001C365B">
        <w:rPr>
          <w:rFonts w:ascii="Verdana" w:hAnsi="Verdana"/>
          <w:b/>
          <w:sz w:val="22"/>
          <w:szCs w:val="22"/>
        </w:rPr>
        <w:t xml:space="preserve"> associated with </w:t>
      </w:r>
      <w:r w:rsidR="00284291">
        <w:rPr>
          <w:rFonts w:ascii="Verdana" w:hAnsi="Verdana"/>
          <w:b/>
          <w:sz w:val="22"/>
          <w:szCs w:val="22"/>
        </w:rPr>
        <w:t>simple</w:t>
      </w:r>
      <w:r w:rsidRPr="001C365B">
        <w:rPr>
          <w:rFonts w:ascii="Verdana" w:hAnsi="Verdana"/>
          <w:b/>
          <w:sz w:val="22"/>
          <w:szCs w:val="22"/>
        </w:rPr>
        <w:t xml:space="preserve"> enquiries not being documented on </w:t>
      </w:r>
      <w:proofErr w:type="spellStart"/>
      <w:r w:rsidRPr="001C365B">
        <w:rPr>
          <w:rFonts w:ascii="Verdana" w:hAnsi="Verdana"/>
          <w:b/>
          <w:sz w:val="22"/>
          <w:szCs w:val="22"/>
        </w:rPr>
        <w:t>MiDatabank</w:t>
      </w:r>
      <w:proofErr w:type="spellEnd"/>
      <w:r w:rsidRPr="001C365B">
        <w:rPr>
          <w:rFonts w:ascii="Verdana" w:hAnsi="Verdana"/>
          <w:b/>
          <w:sz w:val="22"/>
          <w:szCs w:val="22"/>
        </w:rPr>
        <w:t>?</w:t>
      </w:r>
    </w:p>
    <w:p w14:paraId="51EDBF1D" w14:textId="77777777" w:rsidR="00FA7588" w:rsidRDefault="00FA7588" w:rsidP="00076D1D">
      <w:pPr>
        <w:rPr>
          <w:rFonts w:ascii="Verdana" w:hAnsi="Verdana"/>
          <w:b/>
          <w:sz w:val="22"/>
          <w:szCs w:val="22"/>
        </w:rPr>
      </w:pPr>
    </w:p>
    <w:p w14:paraId="28C9A3FD" w14:textId="77777777" w:rsidR="00FA7588" w:rsidRDefault="00FA7588" w:rsidP="00076D1D">
      <w:pPr>
        <w:rPr>
          <w:rFonts w:ascii="Verdana" w:hAnsi="Verdana"/>
          <w:sz w:val="22"/>
          <w:szCs w:val="22"/>
        </w:rPr>
      </w:pPr>
      <w:r>
        <w:rPr>
          <w:rFonts w:ascii="Verdana" w:hAnsi="Verdana"/>
          <w:sz w:val="22"/>
          <w:szCs w:val="22"/>
        </w:rPr>
        <w:t xml:space="preserve">The risks are mainly (but not wholly) associated with the reasons for recording enquiries given above. </w:t>
      </w:r>
    </w:p>
    <w:p w14:paraId="5AA4DC54" w14:textId="77777777" w:rsidR="003B1D92" w:rsidRDefault="003B1D92" w:rsidP="00076D1D">
      <w:pPr>
        <w:rPr>
          <w:rFonts w:ascii="Verdana" w:hAnsi="Verdana"/>
          <w:sz w:val="22"/>
          <w:szCs w:val="22"/>
        </w:rPr>
      </w:pPr>
    </w:p>
    <w:p w14:paraId="01A55DEF" w14:textId="77777777" w:rsidR="003B1D92" w:rsidRDefault="003B1D92" w:rsidP="003B1D92">
      <w:pPr>
        <w:pStyle w:val="ListParagraph"/>
        <w:numPr>
          <w:ilvl w:val="0"/>
          <w:numId w:val="2"/>
        </w:numPr>
        <w:rPr>
          <w:rFonts w:ascii="Verdana" w:hAnsi="Verdana"/>
          <w:sz w:val="22"/>
          <w:szCs w:val="22"/>
        </w:rPr>
      </w:pPr>
      <w:r w:rsidRPr="003B1D92">
        <w:rPr>
          <w:rFonts w:ascii="Verdana" w:hAnsi="Verdana"/>
          <w:b/>
          <w:sz w:val="22"/>
          <w:szCs w:val="22"/>
        </w:rPr>
        <w:t>Enquirer Returns</w:t>
      </w:r>
      <w:r>
        <w:rPr>
          <w:rFonts w:ascii="Verdana" w:hAnsi="Verdana"/>
          <w:sz w:val="22"/>
          <w:szCs w:val="22"/>
        </w:rPr>
        <w:t xml:space="preserve"> – applies to </w:t>
      </w:r>
      <w:r w:rsidR="00284291">
        <w:rPr>
          <w:rFonts w:ascii="Verdana" w:hAnsi="Verdana"/>
          <w:sz w:val="22"/>
          <w:szCs w:val="22"/>
        </w:rPr>
        <w:t>simple</w:t>
      </w:r>
      <w:r>
        <w:rPr>
          <w:rFonts w:ascii="Verdana" w:hAnsi="Verdana"/>
          <w:sz w:val="22"/>
          <w:szCs w:val="22"/>
        </w:rPr>
        <w:t xml:space="preserve"> enquiries although it could be argued that the length of time taken to redo/add to the enquiry is still less than documenting it originally on </w:t>
      </w:r>
      <w:proofErr w:type="spellStart"/>
      <w:r>
        <w:rPr>
          <w:rFonts w:ascii="Verdana" w:hAnsi="Verdana"/>
          <w:sz w:val="22"/>
          <w:szCs w:val="22"/>
        </w:rPr>
        <w:t>MiDatabank</w:t>
      </w:r>
      <w:proofErr w:type="spellEnd"/>
      <w:r>
        <w:rPr>
          <w:rFonts w:ascii="Verdana" w:hAnsi="Verdana"/>
          <w:sz w:val="22"/>
          <w:szCs w:val="22"/>
        </w:rPr>
        <w:t>.</w:t>
      </w:r>
    </w:p>
    <w:p w14:paraId="40113E04" w14:textId="77777777" w:rsidR="003B1D92" w:rsidRPr="003B1D92" w:rsidRDefault="003B1D92" w:rsidP="003B1D92">
      <w:pPr>
        <w:pStyle w:val="ListParagraph"/>
        <w:numPr>
          <w:ilvl w:val="0"/>
          <w:numId w:val="2"/>
        </w:numPr>
        <w:rPr>
          <w:rFonts w:ascii="Verdana" w:hAnsi="Verdana"/>
          <w:sz w:val="22"/>
          <w:szCs w:val="22"/>
        </w:rPr>
      </w:pPr>
      <w:r w:rsidRPr="003B1D92">
        <w:rPr>
          <w:rFonts w:ascii="Verdana" w:hAnsi="Verdana"/>
          <w:b/>
          <w:sz w:val="22"/>
          <w:szCs w:val="22"/>
        </w:rPr>
        <w:t>Work-saving</w:t>
      </w:r>
      <w:r>
        <w:rPr>
          <w:rFonts w:ascii="Verdana" w:hAnsi="Verdana"/>
          <w:sz w:val="22"/>
          <w:szCs w:val="22"/>
        </w:rPr>
        <w:t xml:space="preserve"> – as for enquirer returns above.</w:t>
      </w:r>
    </w:p>
    <w:p w14:paraId="7084EF07" w14:textId="77777777" w:rsidR="003B1D92" w:rsidRPr="001C365B" w:rsidRDefault="00D84415" w:rsidP="003B1D92">
      <w:pPr>
        <w:pStyle w:val="ListParagraph"/>
        <w:numPr>
          <w:ilvl w:val="0"/>
          <w:numId w:val="2"/>
        </w:numPr>
        <w:rPr>
          <w:rFonts w:ascii="Verdana" w:hAnsi="Verdana"/>
          <w:sz w:val="22"/>
          <w:szCs w:val="22"/>
        </w:rPr>
      </w:pPr>
      <w:r w:rsidRPr="001C365B">
        <w:rPr>
          <w:rFonts w:ascii="Verdana" w:hAnsi="Verdana"/>
          <w:b/>
          <w:sz w:val="22"/>
          <w:szCs w:val="22"/>
        </w:rPr>
        <w:t>Complaints</w:t>
      </w:r>
      <w:r>
        <w:rPr>
          <w:rFonts w:ascii="Verdana" w:hAnsi="Verdana"/>
          <w:b/>
          <w:sz w:val="22"/>
          <w:szCs w:val="22"/>
        </w:rPr>
        <w:t xml:space="preserve"> -</w:t>
      </w:r>
      <w:r w:rsidR="003B1D92">
        <w:rPr>
          <w:rFonts w:ascii="Verdana" w:hAnsi="Verdana"/>
          <w:b/>
          <w:sz w:val="22"/>
          <w:szCs w:val="22"/>
        </w:rPr>
        <w:t xml:space="preserve"> </w:t>
      </w:r>
      <w:r w:rsidR="003B1D92">
        <w:rPr>
          <w:rFonts w:ascii="Verdana" w:hAnsi="Verdana"/>
          <w:sz w:val="22"/>
          <w:szCs w:val="22"/>
        </w:rPr>
        <w:t xml:space="preserve">this applies equally to </w:t>
      </w:r>
      <w:r w:rsidR="00284291">
        <w:rPr>
          <w:rFonts w:ascii="Verdana" w:hAnsi="Verdana"/>
          <w:sz w:val="22"/>
          <w:szCs w:val="22"/>
        </w:rPr>
        <w:t>simple</w:t>
      </w:r>
      <w:r w:rsidR="003B1D92">
        <w:rPr>
          <w:rFonts w:ascii="Verdana" w:hAnsi="Verdana"/>
          <w:sz w:val="22"/>
          <w:szCs w:val="22"/>
        </w:rPr>
        <w:t xml:space="preserve"> enquiries as </w:t>
      </w:r>
      <w:r w:rsidR="00284291">
        <w:rPr>
          <w:rFonts w:ascii="Verdana" w:hAnsi="Verdana"/>
          <w:sz w:val="22"/>
          <w:szCs w:val="22"/>
        </w:rPr>
        <w:t>to more</w:t>
      </w:r>
      <w:r w:rsidR="003B1D92">
        <w:rPr>
          <w:rFonts w:ascii="Verdana" w:hAnsi="Verdana"/>
          <w:sz w:val="22"/>
          <w:szCs w:val="22"/>
        </w:rPr>
        <w:t xml:space="preserve"> complex ones. </w:t>
      </w:r>
    </w:p>
    <w:p w14:paraId="36D2C11A" w14:textId="77777777" w:rsidR="00D84415" w:rsidRDefault="003B1D92" w:rsidP="003B1D92">
      <w:pPr>
        <w:pStyle w:val="ListParagraph"/>
        <w:numPr>
          <w:ilvl w:val="0"/>
          <w:numId w:val="2"/>
        </w:numPr>
        <w:rPr>
          <w:rFonts w:ascii="Verdana" w:hAnsi="Verdana"/>
          <w:sz w:val="22"/>
          <w:szCs w:val="22"/>
        </w:rPr>
      </w:pPr>
      <w:r w:rsidRPr="00D84415">
        <w:rPr>
          <w:rFonts w:ascii="Verdana" w:hAnsi="Verdana"/>
          <w:b/>
          <w:sz w:val="22"/>
          <w:szCs w:val="22"/>
        </w:rPr>
        <w:lastRenderedPageBreak/>
        <w:t>Education</w:t>
      </w:r>
      <w:r w:rsidR="00D84415">
        <w:rPr>
          <w:rFonts w:ascii="Verdana" w:hAnsi="Verdana"/>
          <w:sz w:val="22"/>
          <w:szCs w:val="22"/>
        </w:rPr>
        <w:t xml:space="preserve"> – this applies to </w:t>
      </w:r>
      <w:r w:rsidR="00284291">
        <w:rPr>
          <w:rFonts w:ascii="Verdana" w:hAnsi="Verdana"/>
          <w:sz w:val="22"/>
          <w:szCs w:val="22"/>
        </w:rPr>
        <w:t>simple</w:t>
      </w:r>
      <w:r w:rsidR="00D84415">
        <w:rPr>
          <w:rFonts w:ascii="Verdana" w:hAnsi="Verdana"/>
          <w:sz w:val="22"/>
          <w:szCs w:val="22"/>
        </w:rPr>
        <w:t xml:space="preserve"> enquiries – it is arguably more important for trainees, rather than experienced MI staff, to enter all their enquiries on </w:t>
      </w:r>
      <w:proofErr w:type="spellStart"/>
      <w:r w:rsidR="00D84415">
        <w:rPr>
          <w:rFonts w:ascii="Verdana" w:hAnsi="Verdana"/>
          <w:sz w:val="22"/>
          <w:szCs w:val="22"/>
        </w:rPr>
        <w:t>MiDatabank</w:t>
      </w:r>
      <w:proofErr w:type="spellEnd"/>
      <w:r w:rsidR="00D84415">
        <w:rPr>
          <w:rFonts w:ascii="Verdana" w:hAnsi="Verdana"/>
          <w:sz w:val="22"/>
          <w:szCs w:val="22"/>
        </w:rPr>
        <w:t>.</w:t>
      </w:r>
    </w:p>
    <w:p w14:paraId="4E46C91A" w14:textId="77777777" w:rsidR="003B1D92" w:rsidRDefault="003B1D92" w:rsidP="003B1D92">
      <w:pPr>
        <w:pStyle w:val="ListParagraph"/>
        <w:numPr>
          <w:ilvl w:val="0"/>
          <w:numId w:val="2"/>
        </w:numPr>
        <w:rPr>
          <w:rFonts w:ascii="Verdana" w:hAnsi="Verdana"/>
          <w:sz w:val="22"/>
          <w:szCs w:val="22"/>
        </w:rPr>
      </w:pPr>
      <w:r w:rsidRPr="00D84415">
        <w:rPr>
          <w:rFonts w:ascii="Verdana" w:hAnsi="Verdana"/>
          <w:b/>
          <w:sz w:val="22"/>
          <w:szCs w:val="22"/>
        </w:rPr>
        <w:t>Workload Statistics</w:t>
      </w:r>
      <w:r w:rsidR="00D84415">
        <w:rPr>
          <w:rFonts w:ascii="Verdana" w:hAnsi="Verdana"/>
          <w:sz w:val="22"/>
          <w:szCs w:val="22"/>
        </w:rPr>
        <w:t xml:space="preserve"> – having an accurate record of all enquiries handled is important for a number of managerial reasons.</w:t>
      </w:r>
    </w:p>
    <w:p w14:paraId="0C9DCF4D" w14:textId="77777777" w:rsidR="00D84415" w:rsidRDefault="00D84415" w:rsidP="00D84415">
      <w:pPr>
        <w:rPr>
          <w:rFonts w:ascii="Verdana" w:hAnsi="Verdana"/>
          <w:sz w:val="22"/>
          <w:szCs w:val="22"/>
        </w:rPr>
      </w:pPr>
    </w:p>
    <w:p w14:paraId="1D26832F" w14:textId="77777777" w:rsidR="00D84415" w:rsidRDefault="00D84415" w:rsidP="00D84415">
      <w:pPr>
        <w:rPr>
          <w:rFonts w:ascii="Verdana" w:hAnsi="Verdana"/>
          <w:sz w:val="22"/>
          <w:szCs w:val="22"/>
        </w:rPr>
      </w:pPr>
      <w:r>
        <w:rPr>
          <w:rFonts w:ascii="Verdana" w:hAnsi="Verdana"/>
          <w:sz w:val="22"/>
          <w:szCs w:val="22"/>
        </w:rPr>
        <w:t xml:space="preserve">There are additional potential risks associated with not documenting </w:t>
      </w:r>
      <w:r w:rsidR="00284291">
        <w:rPr>
          <w:rFonts w:ascii="Verdana" w:hAnsi="Verdana"/>
          <w:sz w:val="22"/>
          <w:szCs w:val="22"/>
        </w:rPr>
        <w:t>simple</w:t>
      </w:r>
      <w:r>
        <w:rPr>
          <w:rFonts w:ascii="Verdana" w:hAnsi="Verdana"/>
          <w:sz w:val="22"/>
          <w:szCs w:val="22"/>
        </w:rPr>
        <w:t xml:space="preserve"> enquiries in </w:t>
      </w:r>
      <w:proofErr w:type="spellStart"/>
      <w:r>
        <w:rPr>
          <w:rFonts w:ascii="Verdana" w:hAnsi="Verdana"/>
          <w:sz w:val="22"/>
          <w:szCs w:val="22"/>
        </w:rPr>
        <w:t>MiDatabank</w:t>
      </w:r>
      <w:proofErr w:type="spellEnd"/>
      <w:r>
        <w:rPr>
          <w:rFonts w:ascii="Verdana" w:hAnsi="Verdana"/>
          <w:sz w:val="22"/>
          <w:szCs w:val="22"/>
        </w:rPr>
        <w:t>. These include:</w:t>
      </w:r>
    </w:p>
    <w:p w14:paraId="69835D1E" w14:textId="77777777" w:rsidR="00D84415" w:rsidRDefault="00D84415" w:rsidP="00D84415">
      <w:pPr>
        <w:rPr>
          <w:rFonts w:ascii="Verdana" w:hAnsi="Verdana"/>
          <w:sz w:val="22"/>
          <w:szCs w:val="22"/>
        </w:rPr>
      </w:pPr>
    </w:p>
    <w:p w14:paraId="6F9826D4" w14:textId="77777777" w:rsidR="00D84415" w:rsidRPr="00A46F09" w:rsidRDefault="00D84415" w:rsidP="00D84415">
      <w:pPr>
        <w:pStyle w:val="ListParagraph"/>
        <w:numPr>
          <w:ilvl w:val="0"/>
          <w:numId w:val="4"/>
        </w:numPr>
        <w:rPr>
          <w:rFonts w:ascii="Verdana" w:hAnsi="Verdana"/>
          <w:b/>
          <w:sz w:val="22"/>
          <w:szCs w:val="22"/>
        </w:rPr>
      </w:pPr>
      <w:r w:rsidRPr="00D84415">
        <w:rPr>
          <w:rFonts w:ascii="Verdana" w:hAnsi="Verdana"/>
          <w:b/>
          <w:sz w:val="22"/>
          <w:szCs w:val="22"/>
        </w:rPr>
        <w:t>Practice extension</w:t>
      </w:r>
      <w:r>
        <w:rPr>
          <w:rFonts w:ascii="Verdana" w:hAnsi="Verdana"/>
          <w:b/>
          <w:sz w:val="22"/>
          <w:szCs w:val="22"/>
        </w:rPr>
        <w:t xml:space="preserve"> – </w:t>
      </w:r>
      <w:r>
        <w:rPr>
          <w:rFonts w:ascii="Verdana" w:hAnsi="Verdana"/>
          <w:sz w:val="22"/>
          <w:szCs w:val="22"/>
        </w:rPr>
        <w:t xml:space="preserve">it is possible that MI staff will inadvertently, or deliberately, extend the practice of not recording enquiries in </w:t>
      </w:r>
      <w:proofErr w:type="spellStart"/>
      <w:r>
        <w:rPr>
          <w:rFonts w:ascii="Verdana" w:hAnsi="Verdana"/>
          <w:sz w:val="22"/>
          <w:szCs w:val="22"/>
        </w:rPr>
        <w:t>MiDatabank</w:t>
      </w:r>
      <w:proofErr w:type="spellEnd"/>
      <w:r>
        <w:rPr>
          <w:rFonts w:ascii="Verdana" w:hAnsi="Verdana"/>
          <w:sz w:val="22"/>
          <w:szCs w:val="22"/>
        </w:rPr>
        <w:t xml:space="preserve"> to more complex enquiries.</w:t>
      </w:r>
    </w:p>
    <w:p w14:paraId="3B16988A" w14:textId="77777777" w:rsidR="00A46F09" w:rsidRPr="00154582" w:rsidRDefault="00A46F09" w:rsidP="00D84415">
      <w:pPr>
        <w:pStyle w:val="ListParagraph"/>
        <w:numPr>
          <w:ilvl w:val="0"/>
          <w:numId w:val="4"/>
        </w:numPr>
        <w:rPr>
          <w:rFonts w:ascii="Verdana" w:hAnsi="Verdana"/>
          <w:b/>
          <w:sz w:val="22"/>
          <w:szCs w:val="22"/>
        </w:rPr>
      </w:pPr>
      <w:r>
        <w:rPr>
          <w:rFonts w:ascii="Verdana" w:hAnsi="Verdana"/>
          <w:b/>
          <w:sz w:val="22"/>
          <w:szCs w:val="22"/>
        </w:rPr>
        <w:t xml:space="preserve">Inappropriate classification of enquiries as </w:t>
      </w:r>
      <w:r w:rsidR="00284291">
        <w:rPr>
          <w:rFonts w:ascii="Verdana" w:hAnsi="Verdana"/>
          <w:b/>
          <w:sz w:val="22"/>
          <w:szCs w:val="22"/>
        </w:rPr>
        <w:t>simple</w:t>
      </w:r>
      <w:r>
        <w:rPr>
          <w:rFonts w:ascii="Verdana" w:hAnsi="Verdana"/>
          <w:b/>
          <w:sz w:val="22"/>
          <w:szCs w:val="22"/>
        </w:rPr>
        <w:t xml:space="preserve"> – </w:t>
      </w:r>
      <w:r>
        <w:rPr>
          <w:rFonts w:ascii="Verdana" w:hAnsi="Verdana"/>
          <w:sz w:val="22"/>
          <w:szCs w:val="22"/>
        </w:rPr>
        <w:t>this may be a particular problem for trainee or junior staff.</w:t>
      </w:r>
    </w:p>
    <w:p w14:paraId="6CE6B3FB" w14:textId="77777777" w:rsidR="00154582" w:rsidRPr="00154582" w:rsidRDefault="00154582" w:rsidP="00D84415">
      <w:pPr>
        <w:pStyle w:val="ListParagraph"/>
        <w:numPr>
          <w:ilvl w:val="0"/>
          <w:numId w:val="4"/>
        </w:numPr>
        <w:rPr>
          <w:rFonts w:ascii="Verdana" w:hAnsi="Verdana"/>
          <w:b/>
          <w:sz w:val="22"/>
          <w:szCs w:val="22"/>
        </w:rPr>
      </w:pPr>
      <w:r w:rsidRPr="00154582">
        <w:rPr>
          <w:rFonts w:ascii="Verdana" w:hAnsi="Verdana"/>
          <w:b/>
          <w:sz w:val="22"/>
          <w:szCs w:val="22"/>
        </w:rPr>
        <w:t>Enquiry becomes more complex during research</w:t>
      </w:r>
      <w:r>
        <w:rPr>
          <w:rFonts w:ascii="Verdana" w:hAnsi="Verdana"/>
          <w:b/>
          <w:sz w:val="22"/>
          <w:szCs w:val="22"/>
        </w:rPr>
        <w:t xml:space="preserve"> - </w:t>
      </w:r>
      <w:r>
        <w:rPr>
          <w:rFonts w:ascii="Verdana" w:hAnsi="Verdana"/>
          <w:sz w:val="22"/>
          <w:szCs w:val="22"/>
        </w:rPr>
        <w:t xml:space="preserve">it is sometimes the case that what, at the time of receipt, appears to be a simple enquiry becomes more complex when it is being researched. In this instance the enquiry would need to be entered on </w:t>
      </w:r>
      <w:proofErr w:type="spellStart"/>
      <w:r>
        <w:rPr>
          <w:rFonts w:ascii="Verdana" w:hAnsi="Verdana"/>
          <w:sz w:val="22"/>
          <w:szCs w:val="22"/>
        </w:rPr>
        <w:t>MiDatabank</w:t>
      </w:r>
      <w:proofErr w:type="spellEnd"/>
      <w:r>
        <w:rPr>
          <w:rFonts w:ascii="Verdana" w:hAnsi="Verdana"/>
          <w:sz w:val="22"/>
          <w:szCs w:val="22"/>
        </w:rPr>
        <w:t xml:space="preserve"> during the research stage. </w:t>
      </w:r>
    </w:p>
    <w:p w14:paraId="699399D2" w14:textId="77777777" w:rsidR="00D84415" w:rsidRPr="00D84415" w:rsidRDefault="00D84415" w:rsidP="00D84415">
      <w:pPr>
        <w:pStyle w:val="ListParagraph"/>
        <w:numPr>
          <w:ilvl w:val="0"/>
          <w:numId w:val="4"/>
        </w:numPr>
        <w:rPr>
          <w:rFonts w:ascii="Verdana" w:hAnsi="Verdana"/>
          <w:b/>
          <w:sz w:val="22"/>
          <w:szCs w:val="22"/>
        </w:rPr>
      </w:pPr>
      <w:r>
        <w:rPr>
          <w:rFonts w:ascii="Verdana" w:hAnsi="Verdana"/>
          <w:b/>
          <w:sz w:val="22"/>
          <w:szCs w:val="22"/>
        </w:rPr>
        <w:t xml:space="preserve">Errors -  </w:t>
      </w:r>
      <w:r>
        <w:rPr>
          <w:rFonts w:ascii="Verdana" w:hAnsi="Verdana"/>
          <w:sz w:val="22"/>
          <w:szCs w:val="22"/>
        </w:rPr>
        <w:t xml:space="preserve">evidence from IRMIS reports shows that a common cause of errors is not documenting the enquiry as it’s being undertaken </w:t>
      </w:r>
      <w:proofErr w:type="spellStart"/>
      <w:r>
        <w:rPr>
          <w:rFonts w:ascii="Verdana" w:hAnsi="Verdana"/>
          <w:sz w:val="22"/>
          <w:szCs w:val="22"/>
        </w:rPr>
        <w:t>ie</w:t>
      </w:r>
      <w:proofErr w:type="spellEnd"/>
      <w:r>
        <w:rPr>
          <w:rFonts w:ascii="Verdana" w:hAnsi="Verdana"/>
          <w:sz w:val="22"/>
          <w:szCs w:val="22"/>
        </w:rPr>
        <w:t xml:space="preserve"> a number of incidents have come to light when the enquiry was documented in </w:t>
      </w:r>
      <w:proofErr w:type="spellStart"/>
      <w:r>
        <w:rPr>
          <w:rFonts w:ascii="Verdana" w:hAnsi="Verdana"/>
          <w:sz w:val="22"/>
          <w:szCs w:val="22"/>
        </w:rPr>
        <w:t>MiDatabank</w:t>
      </w:r>
      <w:proofErr w:type="spellEnd"/>
      <w:r>
        <w:rPr>
          <w:rFonts w:ascii="Verdana" w:hAnsi="Verdana"/>
          <w:sz w:val="22"/>
          <w:szCs w:val="22"/>
        </w:rPr>
        <w:t xml:space="preserve"> retrospectively. It would be reasonable to assume that similar incidents may occur when enquiries are</w:t>
      </w:r>
      <w:r w:rsidR="00284291">
        <w:rPr>
          <w:rFonts w:ascii="Verdana" w:hAnsi="Verdana"/>
          <w:sz w:val="22"/>
          <w:szCs w:val="22"/>
        </w:rPr>
        <w:t xml:space="preserve"> not </w:t>
      </w:r>
      <w:r>
        <w:rPr>
          <w:rFonts w:ascii="Verdana" w:hAnsi="Verdana"/>
          <w:sz w:val="22"/>
          <w:szCs w:val="22"/>
        </w:rPr>
        <w:t xml:space="preserve">documented in </w:t>
      </w:r>
      <w:proofErr w:type="spellStart"/>
      <w:r>
        <w:rPr>
          <w:rFonts w:ascii="Verdana" w:hAnsi="Verdana"/>
          <w:sz w:val="22"/>
          <w:szCs w:val="22"/>
        </w:rPr>
        <w:t>MiDatabank</w:t>
      </w:r>
      <w:proofErr w:type="spellEnd"/>
      <w:r>
        <w:rPr>
          <w:rFonts w:ascii="Verdana" w:hAnsi="Verdana"/>
          <w:sz w:val="22"/>
          <w:szCs w:val="22"/>
        </w:rPr>
        <w:t xml:space="preserve"> at all but as they aren’t documented the incident doesn’t come to light.</w:t>
      </w:r>
    </w:p>
    <w:p w14:paraId="5E80EE05" w14:textId="77777777" w:rsidR="00D84415" w:rsidRDefault="00D84415" w:rsidP="00D84415">
      <w:pPr>
        <w:rPr>
          <w:rFonts w:ascii="Verdana" w:hAnsi="Verdana"/>
          <w:sz w:val="22"/>
          <w:szCs w:val="22"/>
        </w:rPr>
      </w:pPr>
    </w:p>
    <w:p w14:paraId="133822C4" w14:textId="77777777" w:rsidR="00503FE4" w:rsidRDefault="00202039" w:rsidP="00B00A7C">
      <w:pPr>
        <w:rPr>
          <w:rFonts w:ascii="Verdana" w:hAnsi="Verdana"/>
          <w:b/>
          <w:sz w:val="22"/>
          <w:szCs w:val="22"/>
        </w:rPr>
      </w:pPr>
      <w:r>
        <w:rPr>
          <w:rFonts w:ascii="Verdana" w:hAnsi="Verdana"/>
          <w:b/>
          <w:sz w:val="22"/>
          <w:szCs w:val="22"/>
        </w:rPr>
        <w:t xml:space="preserve">Suggestions to improve recording of all enquiries in </w:t>
      </w:r>
      <w:proofErr w:type="spellStart"/>
      <w:r>
        <w:rPr>
          <w:rFonts w:ascii="Verdana" w:hAnsi="Verdana"/>
          <w:b/>
          <w:sz w:val="22"/>
          <w:szCs w:val="22"/>
        </w:rPr>
        <w:t>MiDatabank</w:t>
      </w:r>
      <w:proofErr w:type="spellEnd"/>
    </w:p>
    <w:p w14:paraId="6B9A70B9" w14:textId="77777777" w:rsidR="00B00A7C" w:rsidRPr="00B00A7C" w:rsidRDefault="00B00A7C" w:rsidP="00B00A7C">
      <w:pPr>
        <w:rPr>
          <w:rFonts w:ascii="Verdana" w:hAnsi="Verdana"/>
          <w:b/>
          <w:sz w:val="22"/>
          <w:szCs w:val="22"/>
        </w:rPr>
      </w:pPr>
    </w:p>
    <w:p w14:paraId="1EE359E7" w14:textId="77777777" w:rsidR="00202039" w:rsidRDefault="00202039" w:rsidP="00503FE4">
      <w:pPr>
        <w:pStyle w:val="ListParagraph"/>
        <w:numPr>
          <w:ilvl w:val="0"/>
          <w:numId w:val="5"/>
        </w:numPr>
        <w:rPr>
          <w:rFonts w:ascii="Verdana" w:hAnsi="Verdana"/>
          <w:sz w:val="22"/>
          <w:szCs w:val="22"/>
        </w:rPr>
      </w:pPr>
      <w:r>
        <w:rPr>
          <w:rFonts w:ascii="Verdana" w:hAnsi="Verdana"/>
          <w:sz w:val="22"/>
          <w:szCs w:val="22"/>
        </w:rPr>
        <w:t xml:space="preserve">Use of headsets allows enquiry to be recorded straight onto </w:t>
      </w:r>
      <w:proofErr w:type="spellStart"/>
      <w:r>
        <w:rPr>
          <w:rFonts w:ascii="Verdana" w:hAnsi="Verdana"/>
          <w:sz w:val="22"/>
          <w:szCs w:val="22"/>
        </w:rPr>
        <w:t>MiDatabank</w:t>
      </w:r>
      <w:proofErr w:type="spellEnd"/>
      <w:r w:rsidR="00D50628">
        <w:rPr>
          <w:rFonts w:ascii="Verdana" w:hAnsi="Verdana"/>
          <w:sz w:val="22"/>
          <w:szCs w:val="22"/>
        </w:rPr>
        <w:t xml:space="preserve"> at the time of receipt</w:t>
      </w:r>
      <w:r>
        <w:rPr>
          <w:rFonts w:ascii="Verdana" w:hAnsi="Verdana"/>
          <w:sz w:val="22"/>
          <w:szCs w:val="22"/>
        </w:rPr>
        <w:t>.</w:t>
      </w:r>
    </w:p>
    <w:p w14:paraId="12FCAD97" w14:textId="77777777" w:rsidR="00202039" w:rsidRDefault="00202039" w:rsidP="00503FE4">
      <w:pPr>
        <w:pStyle w:val="ListParagraph"/>
        <w:numPr>
          <w:ilvl w:val="0"/>
          <w:numId w:val="5"/>
        </w:numPr>
        <w:rPr>
          <w:rFonts w:ascii="Verdana" w:hAnsi="Verdana"/>
          <w:sz w:val="22"/>
          <w:szCs w:val="22"/>
        </w:rPr>
      </w:pPr>
      <w:r>
        <w:rPr>
          <w:rFonts w:ascii="Verdana" w:hAnsi="Verdana"/>
          <w:sz w:val="22"/>
          <w:szCs w:val="22"/>
        </w:rPr>
        <w:t xml:space="preserve">If it is time-consuming to put information into correct boxes on </w:t>
      </w:r>
      <w:proofErr w:type="spellStart"/>
      <w:r>
        <w:rPr>
          <w:rFonts w:ascii="Verdana" w:hAnsi="Verdana"/>
          <w:sz w:val="22"/>
          <w:szCs w:val="22"/>
        </w:rPr>
        <w:t>MiDatabank</w:t>
      </w:r>
      <w:proofErr w:type="spellEnd"/>
      <w:r>
        <w:rPr>
          <w:rFonts w:ascii="Verdana" w:hAnsi="Verdana"/>
          <w:sz w:val="22"/>
          <w:szCs w:val="22"/>
        </w:rPr>
        <w:t xml:space="preserve"> when enquiry </w:t>
      </w:r>
      <w:r w:rsidR="00D50628">
        <w:rPr>
          <w:rFonts w:ascii="Verdana" w:hAnsi="Verdana"/>
          <w:sz w:val="22"/>
          <w:szCs w:val="22"/>
        </w:rPr>
        <w:t xml:space="preserve">is </w:t>
      </w:r>
      <w:r>
        <w:rPr>
          <w:rFonts w:ascii="Verdana" w:hAnsi="Verdana"/>
          <w:sz w:val="22"/>
          <w:szCs w:val="22"/>
        </w:rPr>
        <w:t xml:space="preserve">received – put all </w:t>
      </w:r>
      <w:r w:rsidR="00154582">
        <w:rPr>
          <w:rFonts w:ascii="Verdana" w:hAnsi="Verdana"/>
          <w:sz w:val="22"/>
          <w:szCs w:val="22"/>
        </w:rPr>
        <w:t>information</w:t>
      </w:r>
      <w:r>
        <w:rPr>
          <w:rFonts w:ascii="Verdana" w:hAnsi="Verdana"/>
          <w:sz w:val="22"/>
          <w:szCs w:val="22"/>
        </w:rPr>
        <w:t xml:space="preserve"> in question box at the outset and </w:t>
      </w:r>
      <w:r w:rsidR="00D50628">
        <w:rPr>
          <w:rFonts w:ascii="Verdana" w:hAnsi="Verdana"/>
          <w:sz w:val="22"/>
          <w:szCs w:val="22"/>
        </w:rPr>
        <w:t>copy and paste it</w:t>
      </w:r>
      <w:r>
        <w:rPr>
          <w:rFonts w:ascii="Verdana" w:hAnsi="Verdana"/>
          <w:sz w:val="22"/>
          <w:szCs w:val="22"/>
        </w:rPr>
        <w:t xml:space="preserve"> to correct position </w:t>
      </w:r>
      <w:r w:rsidR="00D50628">
        <w:rPr>
          <w:rFonts w:ascii="Verdana" w:hAnsi="Verdana"/>
          <w:sz w:val="22"/>
          <w:szCs w:val="22"/>
        </w:rPr>
        <w:t>later</w:t>
      </w:r>
      <w:r>
        <w:rPr>
          <w:rFonts w:ascii="Verdana" w:hAnsi="Verdana"/>
          <w:sz w:val="22"/>
          <w:szCs w:val="22"/>
        </w:rPr>
        <w:t>.</w:t>
      </w:r>
    </w:p>
    <w:p w14:paraId="029C35F4" w14:textId="77777777" w:rsidR="00202039" w:rsidRPr="00202039" w:rsidRDefault="00202039" w:rsidP="00503FE4">
      <w:pPr>
        <w:pStyle w:val="ListParagraph"/>
        <w:numPr>
          <w:ilvl w:val="0"/>
          <w:numId w:val="5"/>
        </w:numPr>
        <w:rPr>
          <w:rFonts w:ascii="Verdana" w:hAnsi="Verdana"/>
          <w:sz w:val="22"/>
          <w:szCs w:val="22"/>
        </w:rPr>
      </w:pPr>
      <w:r w:rsidRPr="00202039">
        <w:rPr>
          <w:rFonts w:ascii="Verdana" w:hAnsi="Verdana"/>
          <w:sz w:val="22"/>
          <w:szCs w:val="22"/>
        </w:rPr>
        <w:t xml:space="preserve">Using generic enquirer titles </w:t>
      </w:r>
      <w:proofErr w:type="spellStart"/>
      <w:r w:rsidR="00D50628">
        <w:rPr>
          <w:rFonts w:ascii="Verdana" w:hAnsi="Verdana"/>
          <w:sz w:val="22"/>
          <w:szCs w:val="22"/>
        </w:rPr>
        <w:t>eg</w:t>
      </w:r>
      <w:proofErr w:type="spellEnd"/>
      <w:r w:rsidR="00D50628">
        <w:rPr>
          <w:rFonts w:ascii="Verdana" w:hAnsi="Verdana"/>
          <w:sz w:val="22"/>
          <w:szCs w:val="22"/>
        </w:rPr>
        <w:t xml:space="preserve"> ‘</w:t>
      </w:r>
      <w:r w:rsidR="00E3643C">
        <w:rPr>
          <w:rFonts w:ascii="Verdana" w:hAnsi="Verdana"/>
          <w:sz w:val="22"/>
          <w:szCs w:val="22"/>
        </w:rPr>
        <w:t>Junior Doctor</w:t>
      </w:r>
      <w:r w:rsidR="00D50628">
        <w:rPr>
          <w:rFonts w:ascii="Verdana" w:hAnsi="Verdana"/>
          <w:sz w:val="22"/>
          <w:szCs w:val="22"/>
        </w:rPr>
        <w:t xml:space="preserve">’. The specific enquirer’s </w:t>
      </w:r>
      <w:r w:rsidR="00E3643C">
        <w:rPr>
          <w:rFonts w:ascii="Verdana" w:hAnsi="Verdana"/>
          <w:sz w:val="22"/>
          <w:szCs w:val="22"/>
        </w:rPr>
        <w:t xml:space="preserve">personal and contact </w:t>
      </w:r>
      <w:r w:rsidR="00D50628">
        <w:rPr>
          <w:rFonts w:ascii="Verdana" w:hAnsi="Verdana"/>
          <w:sz w:val="22"/>
          <w:szCs w:val="22"/>
        </w:rPr>
        <w:t xml:space="preserve">details are recorded in the ‘Contact for this enquiry’ box. This saves time looking for an enquirer and checking that they haven’t moved organisation. It also reduces the number of duplicate enquirers entered. </w:t>
      </w:r>
    </w:p>
    <w:p w14:paraId="3DCE78AE" w14:textId="77777777" w:rsidR="00202039" w:rsidRPr="00202039" w:rsidRDefault="00202039" w:rsidP="00202039">
      <w:pPr>
        <w:pStyle w:val="ListParagraph"/>
        <w:numPr>
          <w:ilvl w:val="0"/>
          <w:numId w:val="5"/>
        </w:numPr>
        <w:rPr>
          <w:rFonts w:ascii="Verdana" w:hAnsi="Verdana"/>
          <w:sz w:val="22"/>
          <w:szCs w:val="22"/>
        </w:rPr>
      </w:pPr>
      <w:r w:rsidRPr="00202039">
        <w:rPr>
          <w:rFonts w:ascii="Verdana" w:hAnsi="Verdana"/>
          <w:sz w:val="22"/>
          <w:szCs w:val="22"/>
        </w:rPr>
        <w:t xml:space="preserve">It is usually necessary to confirm </w:t>
      </w:r>
      <w:r w:rsidR="00D50628">
        <w:rPr>
          <w:rFonts w:ascii="Verdana" w:hAnsi="Verdana"/>
          <w:sz w:val="22"/>
          <w:szCs w:val="22"/>
        </w:rPr>
        <w:t xml:space="preserve">the </w:t>
      </w:r>
      <w:r w:rsidRPr="00202039">
        <w:rPr>
          <w:rFonts w:ascii="Verdana" w:hAnsi="Verdana"/>
          <w:sz w:val="22"/>
          <w:szCs w:val="22"/>
        </w:rPr>
        <w:t>information/answer</w:t>
      </w:r>
      <w:r w:rsidR="00D50628">
        <w:rPr>
          <w:rFonts w:ascii="Verdana" w:hAnsi="Verdana"/>
          <w:sz w:val="22"/>
          <w:szCs w:val="22"/>
        </w:rPr>
        <w:t xml:space="preserve"> </w:t>
      </w:r>
      <w:r w:rsidR="005654C2">
        <w:rPr>
          <w:rFonts w:ascii="Verdana" w:hAnsi="Verdana"/>
          <w:sz w:val="22"/>
          <w:szCs w:val="22"/>
        </w:rPr>
        <w:t>provided in</w:t>
      </w:r>
      <w:r w:rsidR="00D50628">
        <w:rPr>
          <w:rFonts w:ascii="Verdana" w:hAnsi="Verdana"/>
          <w:sz w:val="22"/>
          <w:szCs w:val="22"/>
        </w:rPr>
        <w:t xml:space="preserve"> more than one resource. H</w:t>
      </w:r>
      <w:r w:rsidRPr="00202039">
        <w:rPr>
          <w:rFonts w:ascii="Verdana" w:hAnsi="Verdana"/>
          <w:sz w:val="22"/>
          <w:szCs w:val="22"/>
        </w:rPr>
        <w:t xml:space="preserve">owever on occasions when an individual, using their professional judgement believes that one resource, including ‘own knowledge’ is sufficient </w:t>
      </w:r>
      <w:r>
        <w:rPr>
          <w:rFonts w:ascii="Verdana" w:hAnsi="Verdana"/>
          <w:sz w:val="22"/>
          <w:szCs w:val="22"/>
        </w:rPr>
        <w:t xml:space="preserve">to provide an answer to an enquiry </w:t>
      </w:r>
      <w:r w:rsidRPr="00202039">
        <w:rPr>
          <w:rFonts w:ascii="Verdana" w:hAnsi="Verdana"/>
          <w:sz w:val="22"/>
          <w:szCs w:val="22"/>
        </w:rPr>
        <w:t xml:space="preserve">– it is acceptable </w:t>
      </w:r>
      <w:r>
        <w:rPr>
          <w:rFonts w:ascii="Verdana" w:hAnsi="Verdana"/>
          <w:sz w:val="22"/>
          <w:szCs w:val="22"/>
        </w:rPr>
        <w:t xml:space="preserve">to do so and to document as such in </w:t>
      </w:r>
      <w:proofErr w:type="spellStart"/>
      <w:r>
        <w:rPr>
          <w:rFonts w:ascii="Verdana" w:hAnsi="Verdana"/>
          <w:sz w:val="22"/>
          <w:szCs w:val="22"/>
        </w:rPr>
        <w:t>MiDatabank</w:t>
      </w:r>
      <w:proofErr w:type="spellEnd"/>
      <w:r>
        <w:rPr>
          <w:rFonts w:ascii="Verdana" w:hAnsi="Verdana"/>
          <w:sz w:val="22"/>
          <w:szCs w:val="22"/>
        </w:rPr>
        <w:t>.</w:t>
      </w:r>
    </w:p>
    <w:p w14:paraId="34F8770B" w14:textId="77777777" w:rsidR="00A7306F" w:rsidRPr="00154582" w:rsidRDefault="00A7306F" w:rsidP="00503FE4">
      <w:pPr>
        <w:pStyle w:val="ListParagraph"/>
        <w:numPr>
          <w:ilvl w:val="0"/>
          <w:numId w:val="5"/>
        </w:numPr>
        <w:rPr>
          <w:rFonts w:ascii="Verdana" w:hAnsi="Verdana"/>
          <w:b/>
          <w:sz w:val="22"/>
          <w:szCs w:val="22"/>
        </w:rPr>
      </w:pPr>
      <w:r>
        <w:rPr>
          <w:rFonts w:ascii="Verdana" w:hAnsi="Verdana"/>
          <w:sz w:val="22"/>
          <w:szCs w:val="22"/>
        </w:rPr>
        <w:t xml:space="preserve">Consider drafting ‘standard paragraphs’ using the ‘insert special fields’ button on the answer page on </w:t>
      </w:r>
      <w:proofErr w:type="spellStart"/>
      <w:r>
        <w:rPr>
          <w:rFonts w:ascii="Verdana" w:hAnsi="Verdana"/>
          <w:sz w:val="22"/>
          <w:szCs w:val="22"/>
        </w:rPr>
        <w:t>MiDatabank</w:t>
      </w:r>
      <w:proofErr w:type="spellEnd"/>
      <w:r>
        <w:rPr>
          <w:rFonts w:ascii="Verdana" w:hAnsi="Verdana"/>
          <w:sz w:val="22"/>
          <w:szCs w:val="22"/>
        </w:rPr>
        <w:t xml:space="preserve"> – to cover why brief search and/or only one resource was </w:t>
      </w:r>
      <w:r w:rsidR="00D50628">
        <w:rPr>
          <w:rFonts w:ascii="Verdana" w:hAnsi="Verdana"/>
          <w:sz w:val="22"/>
          <w:szCs w:val="22"/>
        </w:rPr>
        <w:t>appropriate</w:t>
      </w:r>
      <w:r>
        <w:rPr>
          <w:rFonts w:ascii="Verdana" w:hAnsi="Verdana"/>
          <w:sz w:val="22"/>
          <w:szCs w:val="22"/>
        </w:rPr>
        <w:t>.</w:t>
      </w:r>
    </w:p>
    <w:p w14:paraId="2263635F" w14:textId="464BA19C" w:rsidR="003E709B" w:rsidRPr="00F14CBD" w:rsidRDefault="00154582" w:rsidP="00F14CBD">
      <w:pPr>
        <w:pStyle w:val="ListParagraph"/>
        <w:numPr>
          <w:ilvl w:val="0"/>
          <w:numId w:val="5"/>
        </w:numPr>
        <w:rPr>
          <w:rFonts w:ascii="Verdana" w:hAnsi="Verdana"/>
          <w:b/>
          <w:sz w:val="22"/>
          <w:szCs w:val="22"/>
        </w:rPr>
      </w:pPr>
      <w:r>
        <w:rPr>
          <w:rFonts w:ascii="Verdana" w:hAnsi="Verdana"/>
          <w:sz w:val="22"/>
          <w:szCs w:val="22"/>
        </w:rPr>
        <w:t xml:space="preserve">Awareness amongst audited centres that the purpose of the enquiry assessment as part of the audit process, is to ensure that the </w:t>
      </w:r>
      <w:r>
        <w:rPr>
          <w:rFonts w:ascii="Verdana" w:hAnsi="Verdana"/>
          <w:sz w:val="22"/>
          <w:szCs w:val="22"/>
        </w:rPr>
        <w:lastRenderedPageBreak/>
        <w:t>analysis, resources used and answer given were appropriate to the enquiry asked and the situation/circumstances at the time. Standard statements/paragraphs could be used at the time to indicate th</w:t>
      </w:r>
      <w:r w:rsidR="00E55387">
        <w:rPr>
          <w:rFonts w:ascii="Verdana" w:hAnsi="Verdana"/>
          <w:sz w:val="22"/>
          <w:szCs w:val="22"/>
        </w:rPr>
        <w:t>is</w:t>
      </w:r>
      <w:r>
        <w:rPr>
          <w:rFonts w:ascii="Verdana" w:hAnsi="Verdana"/>
          <w:sz w:val="22"/>
          <w:szCs w:val="22"/>
        </w:rPr>
        <w:t xml:space="preserve"> to anyone (auditor or others) looking at that enquiry at a later date.</w:t>
      </w:r>
      <w:bookmarkStart w:id="0" w:name="_GoBack"/>
      <w:bookmarkEnd w:id="0"/>
    </w:p>
    <w:p w14:paraId="59E8058F" w14:textId="77777777" w:rsidR="003E709B" w:rsidRPr="00D70BFB" w:rsidRDefault="003E709B" w:rsidP="00260729">
      <w:pPr>
        <w:pStyle w:val="ListParagraph"/>
        <w:rPr>
          <w:rFonts w:ascii="Verdana" w:hAnsi="Verdana"/>
          <w:b/>
          <w:sz w:val="22"/>
          <w:szCs w:val="22"/>
        </w:rPr>
      </w:pPr>
    </w:p>
    <w:p w14:paraId="352A14D1" w14:textId="77777777" w:rsidR="009103EC" w:rsidRDefault="009103EC" w:rsidP="009103EC">
      <w:pPr>
        <w:rPr>
          <w:rFonts w:ascii="Verdana" w:hAnsi="Verdana"/>
          <w:b/>
          <w:sz w:val="22"/>
          <w:szCs w:val="22"/>
        </w:rPr>
      </w:pPr>
      <w:r>
        <w:rPr>
          <w:rFonts w:ascii="Verdana" w:hAnsi="Verdana"/>
          <w:b/>
          <w:sz w:val="22"/>
          <w:szCs w:val="22"/>
        </w:rPr>
        <w:t xml:space="preserve">Implications of not recording enquiries on </w:t>
      </w:r>
      <w:proofErr w:type="spellStart"/>
      <w:r>
        <w:rPr>
          <w:rFonts w:ascii="Verdana" w:hAnsi="Verdana"/>
          <w:b/>
          <w:sz w:val="22"/>
          <w:szCs w:val="22"/>
        </w:rPr>
        <w:t>MiDatabank</w:t>
      </w:r>
      <w:proofErr w:type="spellEnd"/>
    </w:p>
    <w:p w14:paraId="2A6D75E9" w14:textId="77777777" w:rsidR="009103EC" w:rsidRDefault="009103EC" w:rsidP="009103EC">
      <w:pPr>
        <w:rPr>
          <w:rFonts w:ascii="Verdana" w:hAnsi="Verdana"/>
          <w:b/>
          <w:sz w:val="22"/>
          <w:szCs w:val="22"/>
        </w:rPr>
      </w:pPr>
    </w:p>
    <w:p w14:paraId="44513945" w14:textId="77777777" w:rsidR="009103EC" w:rsidRDefault="009103EC" w:rsidP="009103EC">
      <w:pPr>
        <w:pStyle w:val="ListParagraph"/>
        <w:numPr>
          <w:ilvl w:val="0"/>
          <w:numId w:val="18"/>
        </w:numPr>
        <w:rPr>
          <w:rFonts w:ascii="Verdana" w:hAnsi="Verdana"/>
          <w:sz w:val="22"/>
          <w:szCs w:val="22"/>
        </w:rPr>
      </w:pPr>
      <w:proofErr w:type="spellStart"/>
      <w:r w:rsidRPr="00C652B0">
        <w:rPr>
          <w:rFonts w:ascii="Verdana" w:hAnsi="Verdana"/>
          <w:sz w:val="22"/>
          <w:szCs w:val="22"/>
        </w:rPr>
        <w:t>MiDatabank</w:t>
      </w:r>
      <w:proofErr w:type="spellEnd"/>
      <w:r w:rsidRPr="00C652B0">
        <w:rPr>
          <w:rFonts w:ascii="Verdana" w:hAnsi="Verdana"/>
          <w:sz w:val="22"/>
          <w:szCs w:val="22"/>
        </w:rPr>
        <w:t xml:space="preserve"> has been ado</w:t>
      </w:r>
      <w:r>
        <w:rPr>
          <w:rFonts w:ascii="Verdana" w:hAnsi="Verdana"/>
          <w:sz w:val="22"/>
          <w:szCs w:val="22"/>
        </w:rPr>
        <w:t xml:space="preserve">pted as the standard electronic enquiry management system by </w:t>
      </w:r>
      <w:proofErr w:type="spellStart"/>
      <w:r>
        <w:rPr>
          <w:rFonts w:ascii="Verdana" w:hAnsi="Verdana"/>
          <w:sz w:val="22"/>
          <w:szCs w:val="22"/>
        </w:rPr>
        <w:t>UKMi</w:t>
      </w:r>
      <w:proofErr w:type="spellEnd"/>
      <w:r>
        <w:rPr>
          <w:rFonts w:ascii="Verdana" w:hAnsi="Verdana"/>
          <w:sz w:val="22"/>
          <w:szCs w:val="22"/>
        </w:rPr>
        <w:t xml:space="preserve"> for use in MI centres in the UK.</w:t>
      </w:r>
    </w:p>
    <w:p w14:paraId="7B0EECCC" w14:textId="77777777" w:rsidR="009103EC" w:rsidRDefault="009103EC" w:rsidP="009103EC">
      <w:pPr>
        <w:pStyle w:val="ListParagraph"/>
        <w:numPr>
          <w:ilvl w:val="0"/>
          <w:numId w:val="18"/>
        </w:numPr>
        <w:rPr>
          <w:rFonts w:ascii="Verdana" w:hAnsi="Verdana"/>
          <w:sz w:val="22"/>
          <w:szCs w:val="22"/>
        </w:rPr>
      </w:pPr>
      <w:r>
        <w:rPr>
          <w:rFonts w:ascii="Verdana" w:hAnsi="Verdana"/>
          <w:sz w:val="22"/>
          <w:szCs w:val="22"/>
        </w:rPr>
        <w:t xml:space="preserve">This decision was made because </w:t>
      </w:r>
      <w:proofErr w:type="spellStart"/>
      <w:r>
        <w:rPr>
          <w:rFonts w:ascii="Verdana" w:hAnsi="Verdana"/>
          <w:sz w:val="22"/>
          <w:szCs w:val="22"/>
        </w:rPr>
        <w:t>MiDatabank</w:t>
      </w:r>
      <w:proofErr w:type="spellEnd"/>
      <w:r>
        <w:rPr>
          <w:rFonts w:ascii="Verdana" w:hAnsi="Verdana"/>
          <w:sz w:val="22"/>
          <w:szCs w:val="22"/>
        </w:rPr>
        <w:t xml:space="preserve"> offered functionality that was deemed to be critical to practice in MI centres.</w:t>
      </w:r>
    </w:p>
    <w:p w14:paraId="069F3B0F" w14:textId="77777777" w:rsidR="009103EC" w:rsidRDefault="009103EC" w:rsidP="009103EC">
      <w:pPr>
        <w:pStyle w:val="ListParagraph"/>
        <w:numPr>
          <w:ilvl w:val="0"/>
          <w:numId w:val="18"/>
        </w:numPr>
        <w:rPr>
          <w:rFonts w:ascii="Verdana" w:hAnsi="Verdana"/>
          <w:sz w:val="22"/>
          <w:szCs w:val="22"/>
        </w:rPr>
      </w:pPr>
      <w:r>
        <w:rPr>
          <w:rFonts w:ascii="Verdana" w:hAnsi="Verdana"/>
          <w:sz w:val="22"/>
          <w:szCs w:val="22"/>
        </w:rPr>
        <w:t xml:space="preserve">Key functions/features of </w:t>
      </w:r>
      <w:proofErr w:type="spellStart"/>
      <w:r>
        <w:rPr>
          <w:rFonts w:ascii="Verdana" w:hAnsi="Verdana"/>
          <w:sz w:val="22"/>
          <w:szCs w:val="22"/>
        </w:rPr>
        <w:t>MiDatabank</w:t>
      </w:r>
      <w:proofErr w:type="spellEnd"/>
      <w:r>
        <w:rPr>
          <w:rFonts w:ascii="Verdana" w:hAnsi="Verdana"/>
          <w:sz w:val="22"/>
          <w:szCs w:val="22"/>
        </w:rPr>
        <w:t xml:space="preserve"> include robust audit trail, secure access (login/password), backup facilities, search facilities, SSPs, statistical analysis, security of logged patient and enquirer details, DM+D coding and a core library of resources.</w:t>
      </w:r>
    </w:p>
    <w:p w14:paraId="25A9661F" w14:textId="77777777" w:rsidR="009103EC" w:rsidRDefault="009103EC" w:rsidP="009103EC">
      <w:pPr>
        <w:pStyle w:val="ListParagraph"/>
        <w:numPr>
          <w:ilvl w:val="0"/>
          <w:numId w:val="18"/>
        </w:numPr>
        <w:rPr>
          <w:rFonts w:ascii="Verdana" w:hAnsi="Verdana"/>
          <w:sz w:val="22"/>
          <w:szCs w:val="22"/>
        </w:rPr>
      </w:pPr>
      <w:r>
        <w:rPr>
          <w:rFonts w:ascii="Verdana" w:hAnsi="Verdana"/>
          <w:sz w:val="22"/>
          <w:szCs w:val="22"/>
        </w:rPr>
        <w:t>Any other system used for recording enquiries should at least have the same functionality to ensure all information governance issues are met.</w:t>
      </w:r>
    </w:p>
    <w:p w14:paraId="6EBF8B86" w14:textId="77777777" w:rsidR="009103EC" w:rsidRDefault="009103EC" w:rsidP="009103EC">
      <w:pPr>
        <w:pStyle w:val="ListParagraph"/>
        <w:numPr>
          <w:ilvl w:val="0"/>
          <w:numId w:val="18"/>
        </w:numPr>
        <w:rPr>
          <w:rFonts w:ascii="Verdana" w:hAnsi="Verdana"/>
          <w:sz w:val="22"/>
          <w:szCs w:val="22"/>
        </w:rPr>
      </w:pPr>
      <w:r>
        <w:rPr>
          <w:rFonts w:ascii="Verdana" w:hAnsi="Verdana"/>
          <w:sz w:val="22"/>
          <w:szCs w:val="22"/>
        </w:rPr>
        <w:t>If an alternative system is used which does not meet these requirements a risk assessment will need to be undertaken locally.</w:t>
      </w:r>
    </w:p>
    <w:p w14:paraId="455892D5" w14:textId="77777777" w:rsidR="009103EC" w:rsidRPr="00C652B0" w:rsidRDefault="009103EC" w:rsidP="009103EC">
      <w:pPr>
        <w:pStyle w:val="ListParagraph"/>
        <w:numPr>
          <w:ilvl w:val="0"/>
          <w:numId w:val="18"/>
        </w:numPr>
        <w:rPr>
          <w:rFonts w:ascii="Verdana" w:hAnsi="Verdana"/>
          <w:sz w:val="22"/>
          <w:szCs w:val="22"/>
        </w:rPr>
      </w:pPr>
      <w:r>
        <w:rPr>
          <w:rFonts w:ascii="Verdana" w:hAnsi="Verdana"/>
          <w:sz w:val="22"/>
          <w:szCs w:val="22"/>
        </w:rPr>
        <w:t xml:space="preserve">Any alternative system used will need to be regularly reviewed to ensure that it is still being used appropriately and that it continues to meet the requirements of the risk assessment. </w:t>
      </w:r>
    </w:p>
    <w:p w14:paraId="7205D8A8" w14:textId="77777777" w:rsidR="00503FE4" w:rsidRDefault="00503FE4" w:rsidP="00D84415">
      <w:pPr>
        <w:rPr>
          <w:rFonts w:ascii="Verdana" w:hAnsi="Verdana"/>
          <w:b/>
          <w:sz w:val="22"/>
          <w:szCs w:val="22"/>
        </w:rPr>
      </w:pPr>
    </w:p>
    <w:p w14:paraId="655598B8" w14:textId="77777777" w:rsidR="00503FE4" w:rsidRDefault="00503FE4" w:rsidP="00D84415">
      <w:pPr>
        <w:rPr>
          <w:rFonts w:ascii="Verdana" w:hAnsi="Verdana"/>
          <w:b/>
          <w:sz w:val="22"/>
          <w:szCs w:val="22"/>
        </w:rPr>
      </w:pPr>
      <w:r>
        <w:rPr>
          <w:rFonts w:ascii="Verdana" w:hAnsi="Verdana"/>
          <w:b/>
          <w:sz w:val="22"/>
          <w:szCs w:val="22"/>
        </w:rPr>
        <w:t>References</w:t>
      </w:r>
    </w:p>
    <w:p w14:paraId="1FD0B612" w14:textId="77777777" w:rsidR="00B00A7C" w:rsidRDefault="00B00A7C" w:rsidP="00D84415">
      <w:pPr>
        <w:rPr>
          <w:rFonts w:ascii="Verdana" w:hAnsi="Verdana"/>
          <w:b/>
          <w:sz w:val="22"/>
          <w:szCs w:val="22"/>
        </w:rPr>
      </w:pPr>
    </w:p>
    <w:p w14:paraId="24E5813F" w14:textId="50D127BC" w:rsidR="00284291" w:rsidRDefault="00503FE4" w:rsidP="00503FE4">
      <w:pPr>
        <w:rPr>
          <w:rFonts w:ascii="Verdana" w:hAnsi="Verdana"/>
          <w:sz w:val="22"/>
          <w:szCs w:val="22"/>
        </w:rPr>
      </w:pPr>
      <w:proofErr w:type="gramStart"/>
      <w:r>
        <w:rPr>
          <w:rFonts w:ascii="Verdana" w:hAnsi="Verdana"/>
          <w:sz w:val="22"/>
          <w:szCs w:val="22"/>
        </w:rPr>
        <w:t xml:space="preserve">1. </w:t>
      </w:r>
      <w:r w:rsidR="00284291">
        <w:rPr>
          <w:rFonts w:ascii="Verdana" w:hAnsi="Verdana"/>
          <w:sz w:val="22"/>
          <w:szCs w:val="22"/>
        </w:rPr>
        <w:t>Lord Carter of Coles.</w:t>
      </w:r>
      <w:proofErr w:type="gramEnd"/>
      <w:r w:rsidR="00284291">
        <w:rPr>
          <w:rFonts w:ascii="Verdana" w:hAnsi="Verdana"/>
          <w:sz w:val="22"/>
          <w:szCs w:val="22"/>
        </w:rPr>
        <w:t xml:space="preserve"> Operational productivity and performance in English NHS acute hospitals: Unwarranted variations. February 2016</w:t>
      </w:r>
    </w:p>
    <w:p w14:paraId="101D584C" w14:textId="77777777" w:rsidR="00587AC8" w:rsidRDefault="00587AC8" w:rsidP="00503FE4">
      <w:pPr>
        <w:rPr>
          <w:rFonts w:ascii="Verdana" w:hAnsi="Verdana"/>
          <w:sz w:val="22"/>
          <w:szCs w:val="22"/>
        </w:rPr>
      </w:pPr>
    </w:p>
    <w:p w14:paraId="76DA4C2D" w14:textId="77777777" w:rsidR="00587AC8" w:rsidRDefault="0015219E" w:rsidP="00503FE4">
      <w:pPr>
        <w:rPr>
          <w:rFonts w:ascii="Verdana" w:hAnsi="Verdana"/>
          <w:sz w:val="22"/>
          <w:szCs w:val="22"/>
        </w:rPr>
      </w:pPr>
      <w:r>
        <w:rPr>
          <w:rFonts w:ascii="Verdana" w:hAnsi="Verdana"/>
          <w:sz w:val="22"/>
          <w:szCs w:val="22"/>
        </w:rPr>
        <w:t xml:space="preserve">2. </w:t>
      </w:r>
      <w:r w:rsidR="00C24730">
        <w:rPr>
          <w:rFonts w:ascii="Verdana" w:hAnsi="Verdana"/>
          <w:sz w:val="22"/>
          <w:szCs w:val="22"/>
        </w:rPr>
        <w:t xml:space="preserve">RPS benchmarking metrics for acute hospitals March 2018 </w:t>
      </w:r>
    </w:p>
    <w:p w14:paraId="139C03EA" w14:textId="2FA961E5" w:rsidR="0015219E" w:rsidRDefault="00C24730" w:rsidP="00503FE4">
      <w:pPr>
        <w:rPr>
          <w:rFonts w:ascii="Verdana" w:hAnsi="Verdana"/>
          <w:sz w:val="22"/>
          <w:szCs w:val="22"/>
        </w:rPr>
      </w:pPr>
      <w:r w:rsidRPr="00C24730">
        <w:rPr>
          <w:rFonts w:ascii="Verdana" w:hAnsi="Verdana"/>
          <w:sz w:val="22"/>
          <w:szCs w:val="22"/>
        </w:rPr>
        <w:t>https://www.rpharms.com/resources/professional-standards/professional-standards-for-hospital-pharmacy/rps-benchmarking-metrics-for-acute-hospitals</w:t>
      </w:r>
    </w:p>
    <w:p w14:paraId="634EDA0F" w14:textId="77777777" w:rsidR="0015219E" w:rsidRDefault="0015219E" w:rsidP="00503FE4">
      <w:pPr>
        <w:rPr>
          <w:rFonts w:ascii="Verdana" w:hAnsi="Verdana"/>
          <w:sz w:val="22"/>
          <w:szCs w:val="22"/>
        </w:rPr>
      </w:pPr>
    </w:p>
    <w:p w14:paraId="6310582D" w14:textId="411B5470" w:rsidR="0015219E" w:rsidRDefault="00587AC8" w:rsidP="00503FE4">
      <w:pPr>
        <w:rPr>
          <w:rFonts w:ascii="Verdana" w:hAnsi="Verdana"/>
          <w:sz w:val="22"/>
          <w:szCs w:val="22"/>
        </w:rPr>
      </w:pPr>
      <w:r>
        <w:rPr>
          <w:rFonts w:ascii="Verdana" w:hAnsi="Verdana"/>
          <w:sz w:val="22"/>
          <w:szCs w:val="22"/>
        </w:rPr>
        <w:t>3</w:t>
      </w:r>
      <w:r w:rsidR="00284291">
        <w:rPr>
          <w:rFonts w:ascii="Verdana" w:hAnsi="Verdana"/>
          <w:sz w:val="22"/>
          <w:szCs w:val="22"/>
        </w:rPr>
        <w:t xml:space="preserve">. </w:t>
      </w:r>
      <w:r w:rsidR="00503FE4">
        <w:rPr>
          <w:rFonts w:ascii="Verdana" w:hAnsi="Verdana"/>
          <w:sz w:val="22"/>
          <w:szCs w:val="22"/>
        </w:rPr>
        <w:t xml:space="preserve">Innes AJ, Bramley DM and Wills S. </w:t>
      </w:r>
      <w:r w:rsidR="00503FE4" w:rsidRPr="00503FE4">
        <w:rPr>
          <w:rFonts w:ascii="Verdana" w:hAnsi="Verdana"/>
          <w:sz w:val="22"/>
          <w:szCs w:val="22"/>
        </w:rPr>
        <w:t xml:space="preserve">The impact of UK Medicines </w:t>
      </w:r>
    </w:p>
    <w:p w14:paraId="05139151" w14:textId="77777777" w:rsidR="00503FE4" w:rsidRDefault="00503FE4" w:rsidP="00503FE4">
      <w:pPr>
        <w:rPr>
          <w:rFonts w:ascii="Verdana" w:hAnsi="Verdana"/>
          <w:sz w:val="22"/>
          <w:szCs w:val="22"/>
        </w:rPr>
      </w:pPr>
      <w:r w:rsidRPr="00503FE4">
        <w:rPr>
          <w:rFonts w:ascii="Verdana" w:hAnsi="Verdana"/>
          <w:sz w:val="22"/>
          <w:szCs w:val="22"/>
        </w:rPr>
        <w:t>Information services on</w:t>
      </w:r>
      <w:r>
        <w:rPr>
          <w:rFonts w:ascii="Verdana" w:hAnsi="Verdana"/>
          <w:sz w:val="22"/>
          <w:szCs w:val="22"/>
        </w:rPr>
        <w:t xml:space="preserve"> </w:t>
      </w:r>
      <w:r w:rsidRPr="00503FE4">
        <w:rPr>
          <w:rFonts w:ascii="Verdana" w:hAnsi="Verdana"/>
          <w:sz w:val="22"/>
          <w:szCs w:val="22"/>
        </w:rPr>
        <w:t>patient care, clinical outcomes and medicines safety:</w:t>
      </w:r>
      <w:r>
        <w:rPr>
          <w:rFonts w:ascii="Verdana" w:hAnsi="Verdana"/>
          <w:sz w:val="22"/>
          <w:szCs w:val="22"/>
        </w:rPr>
        <w:t xml:space="preserve"> </w:t>
      </w:r>
      <w:r w:rsidRPr="00503FE4">
        <w:rPr>
          <w:rFonts w:ascii="Verdana" w:hAnsi="Verdana"/>
          <w:sz w:val="22"/>
          <w:szCs w:val="22"/>
        </w:rPr>
        <w:t>an evaluation of healthcare professionals’ opinions</w:t>
      </w:r>
      <w:r>
        <w:rPr>
          <w:rFonts w:ascii="Verdana" w:hAnsi="Verdana"/>
          <w:sz w:val="22"/>
          <w:szCs w:val="22"/>
        </w:rPr>
        <w:t xml:space="preserve">. </w:t>
      </w:r>
      <w:proofErr w:type="spellStart"/>
      <w:r w:rsidRPr="00503FE4">
        <w:rPr>
          <w:rFonts w:ascii="Verdana" w:hAnsi="Verdana"/>
          <w:sz w:val="22"/>
          <w:szCs w:val="22"/>
        </w:rPr>
        <w:t>Eur</w:t>
      </w:r>
      <w:proofErr w:type="spellEnd"/>
      <w:r w:rsidRPr="00503FE4">
        <w:rPr>
          <w:rFonts w:ascii="Verdana" w:hAnsi="Verdana"/>
          <w:sz w:val="22"/>
          <w:szCs w:val="22"/>
        </w:rPr>
        <w:t xml:space="preserve"> J </w:t>
      </w:r>
      <w:proofErr w:type="spellStart"/>
      <w:r w:rsidRPr="00503FE4">
        <w:rPr>
          <w:rFonts w:ascii="Verdana" w:hAnsi="Verdana"/>
          <w:sz w:val="22"/>
          <w:szCs w:val="22"/>
        </w:rPr>
        <w:t>Hosp</w:t>
      </w:r>
      <w:proofErr w:type="spellEnd"/>
      <w:r w:rsidRPr="00503FE4">
        <w:rPr>
          <w:rFonts w:ascii="Verdana" w:hAnsi="Verdana"/>
          <w:sz w:val="22"/>
          <w:szCs w:val="22"/>
        </w:rPr>
        <w:t xml:space="preserve"> Pharm 2014</w:t>
      </w:r>
      <w:proofErr w:type="gramStart"/>
      <w:r w:rsidRPr="00503FE4">
        <w:rPr>
          <w:rFonts w:ascii="Verdana" w:hAnsi="Verdana"/>
          <w:sz w:val="22"/>
          <w:szCs w:val="22"/>
        </w:rPr>
        <w:t>;21:222</w:t>
      </w:r>
      <w:proofErr w:type="gramEnd"/>
      <w:r w:rsidRPr="00503FE4">
        <w:rPr>
          <w:rFonts w:ascii="Verdana" w:hAnsi="Verdana"/>
          <w:sz w:val="22"/>
          <w:szCs w:val="22"/>
        </w:rPr>
        <w:t>–228.</w:t>
      </w:r>
    </w:p>
    <w:p w14:paraId="42583E05" w14:textId="77777777" w:rsidR="00587AC8" w:rsidRDefault="00587AC8" w:rsidP="00503FE4">
      <w:pPr>
        <w:rPr>
          <w:rFonts w:ascii="Verdana" w:hAnsi="Verdana"/>
          <w:sz w:val="22"/>
          <w:szCs w:val="22"/>
        </w:rPr>
      </w:pPr>
    </w:p>
    <w:p w14:paraId="4E502DE4" w14:textId="3877443B" w:rsidR="00587AC8" w:rsidRPr="00503FE4" w:rsidRDefault="00587AC8" w:rsidP="00587AC8">
      <w:pPr>
        <w:rPr>
          <w:rFonts w:ascii="Verdana" w:hAnsi="Verdana"/>
          <w:sz w:val="22"/>
          <w:szCs w:val="22"/>
        </w:rPr>
      </w:pPr>
      <w:r>
        <w:rPr>
          <w:rFonts w:ascii="Verdana" w:hAnsi="Verdana"/>
          <w:sz w:val="22"/>
          <w:szCs w:val="22"/>
        </w:rPr>
        <w:t xml:space="preserve">4. Bramley D, Innes A and </w:t>
      </w:r>
      <w:proofErr w:type="spellStart"/>
      <w:r>
        <w:rPr>
          <w:rFonts w:ascii="Verdana" w:hAnsi="Verdana"/>
          <w:sz w:val="22"/>
          <w:szCs w:val="22"/>
        </w:rPr>
        <w:t>Dass</w:t>
      </w:r>
      <w:proofErr w:type="spellEnd"/>
      <w:r>
        <w:rPr>
          <w:rFonts w:ascii="Verdana" w:hAnsi="Verdana"/>
          <w:sz w:val="22"/>
          <w:szCs w:val="22"/>
        </w:rPr>
        <w:t xml:space="preserve"> N Impact of Medicines Helplines</w:t>
      </w:r>
      <w:r w:rsidR="0024046D">
        <w:rPr>
          <w:rFonts w:ascii="Verdana" w:hAnsi="Verdana"/>
          <w:sz w:val="22"/>
          <w:szCs w:val="22"/>
        </w:rPr>
        <w:t xml:space="preserve"> </w:t>
      </w:r>
      <w:r>
        <w:rPr>
          <w:rFonts w:ascii="Verdana" w:hAnsi="Verdana"/>
          <w:sz w:val="22"/>
          <w:szCs w:val="22"/>
        </w:rPr>
        <w:t xml:space="preserve">on patient satisfaction, patient outcomes and medicines safety for hospital patients: the development of a rating scale and an evaluation of patients’ opinions. </w:t>
      </w:r>
      <w:proofErr w:type="spellStart"/>
      <w:r>
        <w:rPr>
          <w:rFonts w:ascii="Verdana" w:hAnsi="Verdana"/>
          <w:sz w:val="22"/>
          <w:szCs w:val="22"/>
        </w:rPr>
        <w:t>Eur</w:t>
      </w:r>
      <w:proofErr w:type="spellEnd"/>
      <w:r>
        <w:rPr>
          <w:rFonts w:ascii="Verdana" w:hAnsi="Verdana"/>
          <w:sz w:val="22"/>
          <w:szCs w:val="22"/>
        </w:rPr>
        <w:t xml:space="preserve"> J </w:t>
      </w:r>
      <w:proofErr w:type="spellStart"/>
      <w:r>
        <w:rPr>
          <w:rFonts w:ascii="Verdana" w:hAnsi="Verdana"/>
          <w:sz w:val="22"/>
          <w:szCs w:val="22"/>
        </w:rPr>
        <w:t>Hosp</w:t>
      </w:r>
      <w:proofErr w:type="spellEnd"/>
      <w:r>
        <w:rPr>
          <w:rFonts w:ascii="Verdana" w:hAnsi="Verdana"/>
          <w:sz w:val="22"/>
          <w:szCs w:val="22"/>
        </w:rPr>
        <w:t xml:space="preserve"> Pharm 2018;</w:t>
      </w:r>
      <w:r w:rsidRPr="00587AC8">
        <w:rPr>
          <w:rFonts w:ascii="FrutigerLTPro-LightCn" w:hAnsi="FrutigerLTPro-LightCn" w:cs="FrutigerLTPro-LightCn"/>
          <w:sz w:val="16"/>
          <w:szCs w:val="16"/>
        </w:rPr>
        <w:t xml:space="preserve"> </w:t>
      </w:r>
      <w:proofErr w:type="spellStart"/>
      <w:r w:rsidRPr="00587AC8">
        <w:rPr>
          <w:rFonts w:ascii="Verdana" w:hAnsi="Verdana"/>
          <w:sz w:val="22"/>
          <w:szCs w:val="22"/>
        </w:rPr>
        <w:t>Epub</w:t>
      </w:r>
      <w:proofErr w:type="spellEnd"/>
      <w:r w:rsidRPr="00587AC8">
        <w:rPr>
          <w:rFonts w:ascii="Verdana" w:hAnsi="Verdana"/>
          <w:sz w:val="22"/>
          <w:szCs w:val="22"/>
        </w:rPr>
        <w:t xml:space="preserve"> ahead of print: doi</w:t>
      </w:r>
      <w:proofErr w:type="gramStart"/>
      <w:r w:rsidRPr="00587AC8">
        <w:rPr>
          <w:rFonts w:ascii="Verdana" w:hAnsi="Verdana"/>
          <w:sz w:val="22"/>
          <w:szCs w:val="22"/>
        </w:rPr>
        <w:t>:10.1136</w:t>
      </w:r>
      <w:proofErr w:type="gramEnd"/>
      <w:r w:rsidRPr="00587AC8">
        <w:rPr>
          <w:rFonts w:ascii="Verdana" w:hAnsi="Verdana"/>
          <w:sz w:val="22"/>
          <w:szCs w:val="22"/>
        </w:rPr>
        <w:t>/ejhpharm-2017-001459.</w:t>
      </w:r>
    </w:p>
    <w:p w14:paraId="5ABA712B" w14:textId="77777777" w:rsidR="00D84415" w:rsidRDefault="00D84415" w:rsidP="00D84415">
      <w:pPr>
        <w:rPr>
          <w:rFonts w:ascii="Verdana" w:hAnsi="Verdana"/>
          <w:sz w:val="22"/>
          <w:szCs w:val="22"/>
        </w:rPr>
      </w:pPr>
    </w:p>
    <w:p w14:paraId="3D9466EC" w14:textId="77777777" w:rsidR="00397BC3" w:rsidRDefault="00397BC3" w:rsidP="00D84415">
      <w:pPr>
        <w:rPr>
          <w:rFonts w:ascii="Verdana" w:hAnsi="Verdana"/>
          <w:b/>
          <w:bCs/>
          <w:sz w:val="22"/>
          <w:szCs w:val="22"/>
          <w:lang w:val="en-US"/>
        </w:rPr>
      </w:pPr>
    </w:p>
    <w:p w14:paraId="013D3F95" w14:textId="77777777" w:rsidR="00397BC3" w:rsidRDefault="00397BC3" w:rsidP="00D84415">
      <w:pPr>
        <w:rPr>
          <w:rFonts w:ascii="Verdana" w:hAnsi="Verdana"/>
          <w:b/>
          <w:bCs/>
          <w:sz w:val="22"/>
          <w:szCs w:val="22"/>
          <w:lang w:val="en-US"/>
        </w:rPr>
      </w:pPr>
    </w:p>
    <w:p w14:paraId="25BCF46C" w14:textId="254A8FB1" w:rsidR="00397BC3" w:rsidRDefault="00A46F09" w:rsidP="00397BC3">
      <w:pPr>
        <w:rPr>
          <w:rFonts w:ascii="Verdana" w:hAnsi="Verdana"/>
          <w:sz w:val="22"/>
          <w:szCs w:val="22"/>
        </w:rPr>
      </w:pPr>
      <w:r>
        <w:rPr>
          <w:rFonts w:ascii="Verdana" w:hAnsi="Verdana"/>
          <w:sz w:val="22"/>
          <w:szCs w:val="22"/>
        </w:rPr>
        <w:t>Clinical Governance Working Group</w:t>
      </w:r>
      <w:r w:rsidR="00397BC3">
        <w:rPr>
          <w:rFonts w:ascii="Verdana" w:hAnsi="Verdana"/>
          <w:sz w:val="22"/>
          <w:szCs w:val="22"/>
        </w:rPr>
        <w:br/>
      </w:r>
      <w:r w:rsidR="00C27FF7">
        <w:rPr>
          <w:rFonts w:ascii="Verdana" w:hAnsi="Verdana"/>
          <w:sz w:val="22"/>
          <w:szCs w:val="22"/>
        </w:rPr>
        <w:t>September</w:t>
      </w:r>
      <w:r w:rsidR="00397BC3">
        <w:rPr>
          <w:rFonts w:ascii="Verdana" w:hAnsi="Verdana"/>
          <w:sz w:val="22"/>
          <w:szCs w:val="22"/>
        </w:rPr>
        <w:t xml:space="preserve"> 2016</w:t>
      </w:r>
      <w:r w:rsidR="00D70BFB">
        <w:rPr>
          <w:rFonts w:ascii="Verdana" w:hAnsi="Verdana"/>
          <w:sz w:val="22"/>
          <w:szCs w:val="22"/>
        </w:rPr>
        <w:t xml:space="preserve"> – updated </w:t>
      </w:r>
      <w:r w:rsidR="0024046D">
        <w:rPr>
          <w:rFonts w:ascii="Verdana" w:hAnsi="Verdana"/>
          <w:sz w:val="22"/>
          <w:szCs w:val="22"/>
        </w:rPr>
        <w:t xml:space="preserve">May </w:t>
      </w:r>
      <w:r w:rsidR="00D70BFB">
        <w:rPr>
          <w:rFonts w:ascii="Verdana" w:hAnsi="Verdana"/>
          <w:sz w:val="22"/>
          <w:szCs w:val="22"/>
        </w:rPr>
        <w:t>2018</w:t>
      </w:r>
    </w:p>
    <w:p w14:paraId="5CF99D0A" w14:textId="77777777" w:rsidR="00E55387" w:rsidRDefault="00E55387" w:rsidP="00397BC3">
      <w:pPr>
        <w:ind w:left="-1276" w:right="-1192"/>
        <w:rPr>
          <w:rFonts w:ascii="Verdana" w:hAnsi="Verdana"/>
          <w:b/>
          <w:bCs/>
          <w:sz w:val="22"/>
          <w:szCs w:val="22"/>
          <w:lang w:val="en-US"/>
        </w:rPr>
      </w:pPr>
    </w:p>
    <w:p w14:paraId="6F0A6AC0" w14:textId="77777777" w:rsidR="00D70BFB" w:rsidRDefault="00D70BFB" w:rsidP="00397BC3">
      <w:pPr>
        <w:ind w:left="-1276" w:right="-1192"/>
        <w:rPr>
          <w:rFonts w:ascii="Verdana" w:hAnsi="Verdana"/>
          <w:b/>
          <w:bCs/>
          <w:sz w:val="22"/>
          <w:szCs w:val="22"/>
          <w:lang w:val="en-US"/>
        </w:rPr>
      </w:pPr>
    </w:p>
    <w:p w14:paraId="7F1AA548" w14:textId="77777777" w:rsidR="00503FE4" w:rsidRDefault="00C75A79" w:rsidP="00397BC3">
      <w:pPr>
        <w:ind w:left="-1276" w:right="-1192"/>
        <w:rPr>
          <w:rFonts w:ascii="Verdana" w:hAnsi="Verdana"/>
          <w:b/>
          <w:bCs/>
          <w:sz w:val="22"/>
          <w:szCs w:val="22"/>
          <w:lang w:val="en-US"/>
        </w:rPr>
      </w:pPr>
      <w:r w:rsidRPr="00C75A79">
        <w:rPr>
          <w:rFonts w:ascii="Verdana" w:hAnsi="Verdana"/>
          <w:b/>
          <w:bCs/>
          <w:sz w:val="22"/>
          <w:szCs w:val="22"/>
          <w:lang w:val="en-US"/>
        </w:rPr>
        <w:t>Appendixes</w:t>
      </w:r>
    </w:p>
    <w:p w14:paraId="3C43C314" w14:textId="77777777" w:rsidR="00C75A79" w:rsidRDefault="00C75A79" w:rsidP="00397BC3">
      <w:pPr>
        <w:ind w:left="-1276" w:right="-1192"/>
        <w:rPr>
          <w:rFonts w:ascii="Verdana" w:hAnsi="Verdana"/>
          <w:b/>
          <w:bCs/>
          <w:sz w:val="22"/>
          <w:szCs w:val="22"/>
          <w:lang w:val="en-US"/>
        </w:rPr>
      </w:pPr>
    </w:p>
    <w:p w14:paraId="0E9F9CED" w14:textId="77777777" w:rsidR="00C75A79" w:rsidRDefault="00C75A79" w:rsidP="00397BC3">
      <w:pPr>
        <w:ind w:left="-1276" w:right="-1192"/>
        <w:rPr>
          <w:rFonts w:ascii="Verdana" w:hAnsi="Verdana"/>
          <w:sz w:val="22"/>
          <w:szCs w:val="22"/>
        </w:rPr>
      </w:pPr>
      <w:proofErr w:type="gramStart"/>
      <w:r w:rsidRPr="00C75A79">
        <w:rPr>
          <w:rFonts w:ascii="Verdana" w:hAnsi="Verdana"/>
          <w:sz w:val="22"/>
          <w:szCs w:val="22"/>
        </w:rPr>
        <w:t>Appendix 1</w:t>
      </w:r>
      <w:r>
        <w:rPr>
          <w:rFonts w:ascii="Verdana" w:hAnsi="Verdana"/>
          <w:sz w:val="22"/>
          <w:szCs w:val="22"/>
        </w:rPr>
        <w:t>.</w:t>
      </w:r>
      <w:proofErr w:type="gramEnd"/>
      <w:r>
        <w:rPr>
          <w:rFonts w:ascii="Verdana" w:hAnsi="Verdana"/>
          <w:sz w:val="22"/>
          <w:szCs w:val="22"/>
        </w:rPr>
        <w:t xml:space="preserve"> </w:t>
      </w:r>
      <w:r w:rsidR="00397BC3">
        <w:rPr>
          <w:rFonts w:ascii="Verdana" w:hAnsi="Verdana"/>
          <w:sz w:val="22"/>
          <w:szCs w:val="22"/>
        </w:rPr>
        <w:t>Enquiries to document</w:t>
      </w:r>
    </w:p>
    <w:p w14:paraId="1C53EE97" w14:textId="77777777" w:rsidR="00397BC3" w:rsidRDefault="00397BC3" w:rsidP="00D84415">
      <w:pPr>
        <w:rPr>
          <w:rFonts w:ascii="Verdana" w:hAnsi="Verdana"/>
          <w:sz w:val="22"/>
          <w:szCs w:val="22"/>
        </w:rPr>
      </w:pPr>
    </w:p>
    <w:p w14:paraId="5AF4DD10" w14:textId="77777777" w:rsidR="00397BC3" w:rsidRDefault="00397BC3">
      <w:pPr>
        <w:pStyle w:val="Heading2"/>
        <w:ind w:left="-284"/>
        <w:rPr>
          <w:b w:val="0"/>
          <w:bCs/>
          <w:sz w:val="24"/>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9"/>
        <w:gridCol w:w="5887"/>
      </w:tblGrid>
      <w:tr w:rsidR="00397BC3" w14:paraId="539CEA07" w14:textId="77777777" w:rsidTr="00397BC3">
        <w:trPr>
          <w:trHeight w:val="642"/>
          <w:jc w:val="center"/>
        </w:trPr>
        <w:tc>
          <w:tcPr>
            <w:tcW w:w="10856" w:type="dxa"/>
            <w:gridSpan w:val="2"/>
            <w:shd w:val="clear" w:color="auto" w:fill="548DD4"/>
          </w:tcPr>
          <w:p w14:paraId="7ED19037" w14:textId="77777777" w:rsidR="00397BC3" w:rsidRDefault="00397BC3" w:rsidP="0004625A">
            <w:pPr>
              <w:pStyle w:val="Heading2"/>
              <w:spacing w:before="240"/>
              <w:jc w:val="center"/>
              <w:rPr>
                <w:rFonts w:cs="Arial"/>
                <w:color w:val="FFFFFF"/>
              </w:rPr>
            </w:pPr>
            <w:r>
              <w:rPr>
                <w:rFonts w:cs="Arial"/>
                <w:color w:val="FFFFFF"/>
              </w:rPr>
              <w:t>What medicines information work should be documented as an enquiry?</w:t>
            </w:r>
          </w:p>
          <w:p w14:paraId="48969347" w14:textId="77777777" w:rsidR="00397BC3" w:rsidRDefault="00397BC3" w:rsidP="0004625A">
            <w:pPr>
              <w:pStyle w:val="Heading1"/>
              <w:rPr>
                <w:rFonts w:cs="Arial"/>
              </w:rPr>
            </w:pPr>
          </w:p>
        </w:tc>
      </w:tr>
      <w:tr w:rsidR="00397BC3" w:rsidRPr="00845B9B" w14:paraId="01D8D15E" w14:textId="77777777" w:rsidTr="00397BC3">
        <w:trPr>
          <w:trHeight w:val="376"/>
          <w:jc w:val="center"/>
        </w:trPr>
        <w:tc>
          <w:tcPr>
            <w:tcW w:w="4969" w:type="dxa"/>
          </w:tcPr>
          <w:p w14:paraId="45CAE336" w14:textId="77777777" w:rsidR="00397BC3" w:rsidRPr="00845B9B" w:rsidRDefault="00397BC3" w:rsidP="0004625A">
            <w:pPr>
              <w:pStyle w:val="Heading1"/>
              <w:spacing w:before="120" w:after="120"/>
            </w:pPr>
            <w:r w:rsidRPr="00845B9B">
              <w:rPr>
                <w:rFonts w:cs="Arial"/>
              </w:rPr>
              <w:t>Document as an enquiry</w:t>
            </w:r>
          </w:p>
        </w:tc>
        <w:tc>
          <w:tcPr>
            <w:tcW w:w="5887" w:type="dxa"/>
          </w:tcPr>
          <w:p w14:paraId="137B7233" w14:textId="77777777" w:rsidR="00397BC3" w:rsidRPr="00845B9B" w:rsidRDefault="00397BC3" w:rsidP="0004625A">
            <w:pPr>
              <w:pStyle w:val="Heading1"/>
              <w:spacing w:before="120" w:after="120"/>
              <w:rPr>
                <w:rFonts w:cs="Arial"/>
              </w:rPr>
            </w:pPr>
            <w:r w:rsidRPr="00845B9B">
              <w:rPr>
                <w:rFonts w:cs="Arial"/>
              </w:rPr>
              <w:t>Do not document as an enquiry</w:t>
            </w:r>
          </w:p>
        </w:tc>
      </w:tr>
      <w:tr w:rsidR="00397BC3" w:rsidRPr="00845B9B" w14:paraId="73BF7CE3" w14:textId="77777777" w:rsidTr="00397BC3">
        <w:trPr>
          <w:trHeight w:val="2247"/>
          <w:jc w:val="center"/>
        </w:trPr>
        <w:tc>
          <w:tcPr>
            <w:tcW w:w="4969" w:type="dxa"/>
          </w:tcPr>
          <w:p w14:paraId="75E4B785" w14:textId="77777777" w:rsidR="00397BC3" w:rsidRPr="00845B9B" w:rsidRDefault="00397BC3" w:rsidP="0004625A">
            <w:pPr>
              <w:spacing w:before="60" w:after="60"/>
              <w:rPr>
                <w:rFonts w:ascii="Arial" w:hAnsi="Arial" w:cs="Arial"/>
                <w:sz w:val="22"/>
              </w:rPr>
            </w:pPr>
            <w:r w:rsidRPr="00845B9B">
              <w:rPr>
                <w:rFonts w:ascii="Arial" w:hAnsi="Arial" w:cs="Arial"/>
                <w:b/>
                <w:sz w:val="22"/>
              </w:rPr>
              <w:t>General:</w:t>
            </w:r>
            <w:r w:rsidRPr="00845B9B">
              <w:rPr>
                <w:rFonts w:ascii="Arial" w:hAnsi="Arial" w:cs="Arial"/>
                <w:sz w:val="22"/>
              </w:rPr>
              <w:t xml:space="preserve"> </w:t>
            </w:r>
          </w:p>
          <w:p w14:paraId="6261683F" w14:textId="77777777" w:rsidR="00397BC3" w:rsidRPr="00845B9B" w:rsidRDefault="00397BC3" w:rsidP="00397BC3">
            <w:pPr>
              <w:numPr>
                <w:ilvl w:val="0"/>
                <w:numId w:val="7"/>
              </w:numPr>
              <w:spacing w:before="60" w:after="60"/>
              <w:rPr>
                <w:rFonts w:ascii="Arial" w:hAnsi="Arial" w:cs="Arial"/>
                <w:sz w:val="22"/>
              </w:rPr>
            </w:pPr>
            <w:r w:rsidRPr="00845B9B">
              <w:rPr>
                <w:rFonts w:ascii="Arial" w:hAnsi="Arial" w:cs="Arial"/>
                <w:sz w:val="22"/>
              </w:rPr>
              <w:t xml:space="preserve">Any request for information or advice that requires any professional judgment/ knowledge or access to recognised </w:t>
            </w:r>
            <w:proofErr w:type="spellStart"/>
            <w:r w:rsidRPr="00845B9B">
              <w:rPr>
                <w:rFonts w:ascii="Arial" w:hAnsi="Arial" w:cs="Arial"/>
                <w:sz w:val="22"/>
              </w:rPr>
              <w:t>UKMi</w:t>
            </w:r>
            <w:proofErr w:type="spellEnd"/>
            <w:r w:rsidRPr="00845B9B">
              <w:rPr>
                <w:rFonts w:ascii="Arial" w:hAnsi="Arial" w:cs="Arial"/>
                <w:sz w:val="22"/>
              </w:rPr>
              <w:t xml:space="preserve"> reference sources about medicines whether it is a general enquiry e.g. for a presentation/review or for a specific patient.</w:t>
            </w:r>
          </w:p>
          <w:p w14:paraId="4DE91E44" w14:textId="77777777" w:rsidR="00397BC3" w:rsidRPr="00845B9B" w:rsidRDefault="00397BC3" w:rsidP="0004625A">
            <w:pPr>
              <w:spacing w:before="60" w:after="60"/>
              <w:rPr>
                <w:rFonts w:ascii="Arial" w:hAnsi="Arial" w:cs="Arial"/>
                <w:sz w:val="22"/>
              </w:rPr>
            </w:pPr>
          </w:p>
        </w:tc>
        <w:tc>
          <w:tcPr>
            <w:tcW w:w="5887" w:type="dxa"/>
          </w:tcPr>
          <w:p w14:paraId="033AE754" w14:textId="77777777" w:rsidR="00397BC3" w:rsidRPr="00845B9B" w:rsidRDefault="00397BC3" w:rsidP="0004625A">
            <w:pPr>
              <w:spacing w:before="60" w:after="60"/>
              <w:rPr>
                <w:rFonts w:ascii="Arial" w:hAnsi="Arial" w:cs="Arial"/>
                <w:sz w:val="22"/>
              </w:rPr>
            </w:pPr>
            <w:r w:rsidRPr="00845B9B">
              <w:rPr>
                <w:rFonts w:ascii="Arial" w:hAnsi="Arial" w:cs="Arial"/>
                <w:b/>
                <w:sz w:val="22"/>
              </w:rPr>
              <w:t>General:</w:t>
            </w:r>
            <w:r w:rsidRPr="00845B9B">
              <w:rPr>
                <w:rFonts w:ascii="Arial" w:hAnsi="Arial" w:cs="Arial"/>
                <w:sz w:val="22"/>
              </w:rPr>
              <w:t xml:space="preserve"> </w:t>
            </w:r>
          </w:p>
          <w:p w14:paraId="05C94614" w14:textId="77777777" w:rsidR="00397BC3" w:rsidRPr="00845B9B" w:rsidRDefault="00397BC3" w:rsidP="00397BC3">
            <w:pPr>
              <w:numPr>
                <w:ilvl w:val="0"/>
                <w:numId w:val="13"/>
              </w:numPr>
              <w:spacing w:before="60" w:after="60"/>
              <w:rPr>
                <w:rFonts w:ascii="Arial" w:hAnsi="Arial" w:cs="Arial"/>
                <w:sz w:val="22"/>
              </w:rPr>
            </w:pPr>
            <w:r w:rsidRPr="00845B9B">
              <w:rPr>
                <w:rFonts w:ascii="Arial" w:hAnsi="Arial" w:cs="Arial"/>
                <w:sz w:val="22"/>
              </w:rPr>
              <w:t xml:space="preserve">Services which do not require any professional judgment/ knowledge or access to </w:t>
            </w:r>
            <w:proofErr w:type="spellStart"/>
            <w:r w:rsidRPr="00845B9B">
              <w:rPr>
                <w:rFonts w:ascii="Arial" w:hAnsi="Arial" w:cs="Arial"/>
                <w:sz w:val="22"/>
              </w:rPr>
              <w:t>UKMi</w:t>
            </w:r>
            <w:proofErr w:type="spellEnd"/>
            <w:r w:rsidRPr="00845B9B">
              <w:rPr>
                <w:rFonts w:ascii="Arial" w:hAnsi="Arial" w:cs="Arial"/>
                <w:sz w:val="22"/>
              </w:rPr>
              <w:t xml:space="preserve"> reference sources about medicines: </w:t>
            </w:r>
          </w:p>
          <w:p w14:paraId="15922877" w14:textId="77777777" w:rsidR="00397BC3" w:rsidRPr="00845B9B" w:rsidRDefault="00397BC3" w:rsidP="0004625A">
            <w:pPr>
              <w:spacing w:before="60" w:after="60"/>
              <w:rPr>
                <w:rFonts w:ascii="Arial" w:hAnsi="Arial" w:cs="Arial"/>
                <w:sz w:val="22"/>
              </w:rPr>
            </w:pPr>
            <w:r w:rsidRPr="00845B9B">
              <w:rPr>
                <w:rFonts w:ascii="Arial" w:hAnsi="Arial" w:cs="Arial"/>
                <w:sz w:val="22"/>
              </w:rPr>
              <w:t>e.g.</w:t>
            </w:r>
          </w:p>
          <w:p w14:paraId="2327145F" w14:textId="77777777" w:rsidR="00397BC3" w:rsidRPr="00845B9B" w:rsidRDefault="00397BC3" w:rsidP="00397BC3">
            <w:pPr>
              <w:numPr>
                <w:ilvl w:val="0"/>
                <w:numId w:val="12"/>
              </w:numPr>
              <w:ind w:left="714" w:hanging="357"/>
              <w:rPr>
                <w:rFonts w:ascii="Arial" w:hAnsi="Arial" w:cs="Arial"/>
                <w:sz w:val="22"/>
              </w:rPr>
            </w:pPr>
            <w:r w:rsidRPr="00845B9B">
              <w:rPr>
                <w:rFonts w:ascii="Arial" w:hAnsi="Arial" w:cs="Arial"/>
                <w:sz w:val="22"/>
              </w:rPr>
              <w:t xml:space="preserve">Requests for drug company/rep contact details. </w:t>
            </w:r>
          </w:p>
          <w:p w14:paraId="2D453F1E" w14:textId="77777777" w:rsidR="00397BC3" w:rsidRPr="00845B9B" w:rsidRDefault="00397BC3" w:rsidP="00397BC3">
            <w:pPr>
              <w:pStyle w:val="BodyTextIndent"/>
              <w:numPr>
                <w:ilvl w:val="0"/>
                <w:numId w:val="12"/>
              </w:numPr>
              <w:ind w:left="714" w:hanging="357"/>
              <w:rPr>
                <w:rFonts w:ascii="Arial" w:hAnsi="Arial" w:cs="Arial"/>
                <w:sz w:val="22"/>
              </w:rPr>
            </w:pPr>
            <w:r w:rsidRPr="00845B9B">
              <w:rPr>
                <w:rFonts w:ascii="Arial" w:hAnsi="Arial" w:cs="Arial"/>
                <w:sz w:val="22"/>
              </w:rPr>
              <w:t>Enquiries referred to another source without any MI input.</w:t>
            </w:r>
          </w:p>
          <w:p w14:paraId="54931F60" w14:textId="77777777" w:rsidR="00397BC3" w:rsidRPr="00845B9B" w:rsidRDefault="00397BC3" w:rsidP="00397BC3">
            <w:pPr>
              <w:numPr>
                <w:ilvl w:val="0"/>
                <w:numId w:val="12"/>
              </w:numPr>
              <w:ind w:left="714" w:hanging="357"/>
              <w:rPr>
                <w:rFonts w:ascii="Arial" w:hAnsi="Arial" w:cs="Arial"/>
                <w:sz w:val="22"/>
              </w:rPr>
            </w:pPr>
            <w:r w:rsidRPr="00845B9B">
              <w:rPr>
                <w:rFonts w:ascii="Arial" w:hAnsi="Arial" w:cs="Arial"/>
                <w:sz w:val="22"/>
              </w:rPr>
              <w:t>Completion of questionnaires or surveys.</w:t>
            </w:r>
          </w:p>
          <w:p w14:paraId="2B279449" w14:textId="77777777" w:rsidR="00397BC3" w:rsidRPr="00845B9B" w:rsidRDefault="00397BC3" w:rsidP="00397BC3">
            <w:pPr>
              <w:numPr>
                <w:ilvl w:val="0"/>
                <w:numId w:val="12"/>
              </w:numPr>
              <w:ind w:left="714" w:hanging="357"/>
              <w:rPr>
                <w:rFonts w:ascii="Arial" w:hAnsi="Arial" w:cs="Arial"/>
                <w:sz w:val="22"/>
              </w:rPr>
            </w:pPr>
            <w:r w:rsidRPr="00845B9B">
              <w:rPr>
                <w:rFonts w:ascii="Arial" w:hAnsi="Arial" w:cs="Arial"/>
                <w:sz w:val="22"/>
              </w:rPr>
              <w:t xml:space="preserve">Enquiries about stock held in the dispensary. </w:t>
            </w:r>
          </w:p>
          <w:p w14:paraId="28706D9E" w14:textId="77777777" w:rsidR="00397BC3" w:rsidRPr="00845B9B" w:rsidRDefault="00397BC3" w:rsidP="00397BC3">
            <w:pPr>
              <w:numPr>
                <w:ilvl w:val="0"/>
                <w:numId w:val="12"/>
              </w:numPr>
              <w:ind w:left="714" w:hanging="357"/>
              <w:rPr>
                <w:rFonts w:ascii="Arial" w:hAnsi="Arial" w:cs="Arial"/>
                <w:sz w:val="22"/>
              </w:rPr>
            </w:pPr>
            <w:r w:rsidRPr="00845B9B">
              <w:rPr>
                <w:rFonts w:ascii="Arial" w:hAnsi="Arial" w:cs="Arial"/>
                <w:sz w:val="22"/>
              </w:rPr>
              <w:t>Requests for verification that a drug is on the hospital formulary.</w:t>
            </w:r>
          </w:p>
          <w:p w14:paraId="7C2A099B" w14:textId="77777777" w:rsidR="00397BC3" w:rsidRPr="00845B9B" w:rsidRDefault="00397BC3" w:rsidP="00397BC3">
            <w:pPr>
              <w:numPr>
                <w:ilvl w:val="0"/>
                <w:numId w:val="12"/>
              </w:numPr>
              <w:ind w:left="714" w:hanging="357"/>
              <w:rPr>
                <w:rFonts w:ascii="Arial" w:hAnsi="Arial" w:cs="Arial"/>
                <w:sz w:val="22"/>
              </w:rPr>
            </w:pPr>
            <w:r w:rsidRPr="00845B9B">
              <w:rPr>
                <w:rFonts w:ascii="Arial" w:hAnsi="Arial" w:cs="Arial"/>
                <w:sz w:val="22"/>
              </w:rPr>
              <w:t>Lectures.</w:t>
            </w:r>
            <w:r w:rsidRPr="00845B9B">
              <w:rPr>
                <w:rFonts w:ascii="Arial" w:hAnsi="Arial" w:cs="Arial"/>
                <w:sz w:val="22"/>
              </w:rPr>
              <w:br/>
            </w:r>
          </w:p>
        </w:tc>
      </w:tr>
      <w:tr w:rsidR="00397BC3" w:rsidRPr="00845B9B" w14:paraId="2849233F" w14:textId="77777777" w:rsidTr="00397BC3">
        <w:trPr>
          <w:trHeight w:val="1219"/>
          <w:jc w:val="center"/>
        </w:trPr>
        <w:tc>
          <w:tcPr>
            <w:tcW w:w="4969" w:type="dxa"/>
          </w:tcPr>
          <w:p w14:paraId="1426FACB" w14:textId="77777777" w:rsidR="00397BC3" w:rsidRPr="00845B9B" w:rsidRDefault="00397BC3" w:rsidP="0004625A">
            <w:pPr>
              <w:spacing w:before="60" w:after="60"/>
              <w:rPr>
                <w:rFonts w:ascii="Arial" w:hAnsi="Arial" w:cs="Arial"/>
                <w:sz w:val="22"/>
              </w:rPr>
            </w:pPr>
            <w:r w:rsidRPr="00845B9B">
              <w:rPr>
                <w:rFonts w:ascii="Arial" w:hAnsi="Arial" w:cs="Arial"/>
                <w:b/>
                <w:sz w:val="22"/>
              </w:rPr>
              <w:t>Photocopying/Printing:</w:t>
            </w:r>
            <w:r w:rsidRPr="00845B9B">
              <w:rPr>
                <w:rFonts w:ascii="Arial" w:hAnsi="Arial" w:cs="Arial"/>
                <w:sz w:val="22"/>
              </w:rPr>
              <w:t xml:space="preserve"> </w:t>
            </w:r>
          </w:p>
          <w:p w14:paraId="366FE7A2" w14:textId="77777777" w:rsidR="00397BC3" w:rsidRPr="00845B9B" w:rsidRDefault="00397BC3" w:rsidP="00397BC3">
            <w:pPr>
              <w:numPr>
                <w:ilvl w:val="0"/>
                <w:numId w:val="6"/>
              </w:numPr>
              <w:spacing w:before="60" w:after="60"/>
              <w:rPr>
                <w:rFonts w:ascii="Arial" w:hAnsi="Arial" w:cs="Arial"/>
                <w:i/>
                <w:iCs/>
                <w:sz w:val="22"/>
              </w:rPr>
            </w:pPr>
            <w:r w:rsidRPr="00845B9B">
              <w:rPr>
                <w:rFonts w:ascii="Arial" w:hAnsi="Arial" w:cs="Arial"/>
                <w:sz w:val="22"/>
              </w:rPr>
              <w:t xml:space="preserve">Requests for </w:t>
            </w:r>
            <w:r w:rsidRPr="00B5630A">
              <w:rPr>
                <w:rFonts w:ascii="Arial" w:hAnsi="Arial" w:cs="Arial"/>
                <w:sz w:val="22"/>
              </w:rPr>
              <w:t xml:space="preserve">journal </w:t>
            </w:r>
            <w:r>
              <w:rPr>
                <w:rFonts w:ascii="Arial" w:hAnsi="Arial" w:cs="Arial"/>
                <w:sz w:val="22"/>
              </w:rPr>
              <w:t>references</w:t>
            </w:r>
            <w:r w:rsidRPr="00845B9B">
              <w:rPr>
                <w:rFonts w:ascii="Arial" w:hAnsi="Arial" w:cs="Arial"/>
                <w:sz w:val="22"/>
              </w:rPr>
              <w:t xml:space="preserve"> where the complete </w:t>
            </w:r>
            <w:r w:rsidRPr="00845B9B">
              <w:rPr>
                <w:rFonts w:ascii="Arial" w:hAnsi="Arial" w:cs="Arial"/>
                <w:i/>
                <w:iCs/>
                <w:sz w:val="22"/>
              </w:rPr>
              <w:t>citation needs to be identified first.</w:t>
            </w:r>
          </w:p>
          <w:p w14:paraId="7E15F9EE" w14:textId="77777777" w:rsidR="00397BC3" w:rsidRPr="00845B9B" w:rsidRDefault="00397BC3" w:rsidP="00397BC3">
            <w:pPr>
              <w:numPr>
                <w:ilvl w:val="0"/>
                <w:numId w:val="9"/>
              </w:numPr>
              <w:spacing w:before="60" w:after="60"/>
              <w:rPr>
                <w:rFonts w:ascii="Arial" w:hAnsi="Arial" w:cs="Arial"/>
                <w:sz w:val="22"/>
              </w:rPr>
            </w:pPr>
            <w:r w:rsidRPr="00845B9B">
              <w:rPr>
                <w:rFonts w:ascii="Arial" w:hAnsi="Arial" w:cs="Arial"/>
                <w:sz w:val="22"/>
              </w:rPr>
              <w:t xml:space="preserve">Copies of material from websites </w:t>
            </w:r>
            <w:r w:rsidRPr="00845B9B">
              <w:rPr>
                <w:rFonts w:ascii="Arial" w:hAnsi="Arial" w:cs="Arial"/>
                <w:i/>
                <w:iCs/>
                <w:sz w:val="22"/>
              </w:rPr>
              <w:t>where the website is not identified by its URL.</w:t>
            </w:r>
          </w:p>
        </w:tc>
        <w:tc>
          <w:tcPr>
            <w:tcW w:w="5887" w:type="dxa"/>
          </w:tcPr>
          <w:p w14:paraId="2C2215A0" w14:textId="77777777" w:rsidR="00397BC3" w:rsidRPr="00845B9B" w:rsidRDefault="00397BC3" w:rsidP="0004625A">
            <w:pPr>
              <w:spacing w:before="60" w:after="60"/>
              <w:rPr>
                <w:rFonts w:ascii="Arial" w:hAnsi="Arial" w:cs="Arial"/>
                <w:b/>
                <w:sz w:val="22"/>
              </w:rPr>
            </w:pPr>
            <w:r w:rsidRPr="00845B9B">
              <w:rPr>
                <w:rFonts w:ascii="Arial" w:hAnsi="Arial" w:cs="Arial"/>
                <w:b/>
                <w:sz w:val="22"/>
              </w:rPr>
              <w:t>Photocopying/ Printing:</w:t>
            </w:r>
          </w:p>
          <w:p w14:paraId="32A45FD6" w14:textId="77777777" w:rsidR="00397BC3" w:rsidRPr="00845B9B" w:rsidRDefault="00397BC3" w:rsidP="00397BC3">
            <w:pPr>
              <w:numPr>
                <w:ilvl w:val="0"/>
                <w:numId w:val="8"/>
              </w:numPr>
              <w:spacing w:before="60" w:after="60"/>
              <w:rPr>
                <w:rFonts w:ascii="Arial" w:hAnsi="Arial" w:cs="Arial"/>
                <w:i/>
                <w:iCs/>
                <w:sz w:val="22"/>
              </w:rPr>
            </w:pPr>
            <w:r w:rsidRPr="00845B9B">
              <w:rPr>
                <w:rFonts w:ascii="Arial" w:hAnsi="Arial" w:cs="Arial"/>
                <w:sz w:val="22"/>
              </w:rPr>
              <w:t xml:space="preserve">Requests for </w:t>
            </w:r>
            <w:r w:rsidRPr="00B5630A">
              <w:rPr>
                <w:rFonts w:ascii="Arial" w:hAnsi="Arial" w:cs="Arial"/>
                <w:sz w:val="22"/>
              </w:rPr>
              <w:t xml:space="preserve">journal </w:t>
            </w:r>
            <w:r>
              <w:rPr>
                <w:rFonts w:ascii="Arial" w:hAnsi="Arial" w:cs="Arial"/>
                <w:sz w:val="22"/>
              </w:rPr>
              <w:t>references</w:t>
            </w:r>
            <w:r w:rsidRPr="00845B9B">
              <w:rPr>
                <w:rFonts w:ascii="Arial" w:hAnsi="Arial" w:cs="Arial"/>
                <w:sz w:val="22"/>
              </w:rPr>
              <w:t xml:space="preserve"> </w:t>
            </w:r>
            <w:r w:rsidRPr="00845B9B">
              <w:rPr>
                <w:rFonts w:ascii="Arial" w:hAnsi="Arial" w:cs="Arial"/>
                <w:i/>
                <w:iCs/>
                <w:sz w:val="22"/>
              </w:rPr>
              <w:t>when the complete citation is given.</w:t>
            </w:r>
          </w:p>
          <w:p w14:paraId="66FD5DDF" w14:textId="77777777" w:rsidR="00397BC3" w:rsidRPr="00845B9B" w:rsidRDefault="00397BC3" w:rsidP="00397BC3">
            <w:pPr>
              <w:numPr>
                <w:ilvl w:val="0"/>
                <w:numId w:val="8"/>
              </w:numPr>
              <w:spacing w:before="60" w:after="60"/>
              <w:rPr>
                <w:rFonts w:ascii="Arial" w:hAnsi="Arial" w:cs="Arial"/>
                <w:i/>
                <w:iCs/>
                <w:sz w:val="22"/>
              </w:rPr>
            </w:pPr>
            <w:r w:rsidRPr="00845B9B">
              <w:rPr>
                <w:rFonts w:ascii="Arial" w:hAnsi="Arial" w:cs="Arial"/>
                <w:sz w:val="22"/>
              </w:rPr>
              <w:t xml:space="preserve">Requests for copies of </w:t>
            </w:r>
            <w:r w:rsidRPr="00845B9B">
              <w:rPr>
                <w:rFonts w:ascii="Arial" w:hAnsi="Arial" w:cs="Arial"/>
                <w:i/>
                <w:iCs/>
                <w:sz w:val="22"/>
              </w:rPr>
              <w:t xml:space="preserve">enquirer-specified in-house or </w:t>
            </w:r>
            <w:proofErr w:type="spellStart"/>
            <w:r w:rsidRPr="00845B9B">
              <w:rPr>
                <w:rFonts w:ascii="Arial" w:hAnsi="Arial" w:cs="Arial"/>
                <w:i/>
                <w:iCs/>
                <w:sz w:val="22"/>
              </w:rPr>
              <w:t>UKM</w:t>
            </w:r>
            <w:r>
              <w:rPr>
                <w:rFonts w:ascii="Arial" w:hAnsi="Arial" w:cs="Arial"/>
                <w:i/>
                <w:iCs/>
                <w:sz w:val="22"/>
              </w:rPr>
              <w:t>i</w:t>
            </w:r>
            <w:proofErr w:type="spellEnd"/>
            <w:r w:rsidRPr="00845B9B">
              <w:rPr>
                <w:rFonts w:ascii="Arial" w:hAnsi="Arial" w:cs="Arial"/>
                <w:i/>
                <w:iCs/>
                <w:sz w:val="22"/>
              </w:rPr>
              <w:t xml:space="preserve"> material.</w:t>
            </w:r>
          </w:p>
          <w:p w14:paraId="210718A5" w14:textId="77777777" w:rsidR="00397BC3" w:rsidRPr="00845B9B" w:rsidRDefault="00397BC3" w:rsidP="00397BC3">
            <w:pPr>
              <w:numPr>
                <w:ilvl w:val="0"/>
                <w:numId w:val="8"/>
              </w:numPr>
              <w:spacing w:before="60" w:after="60"/>
              <w:rPr>
                <w:rFonts w:ascii="Arial" w:hAnsi="Arial" w:cs="Arial"/>
                <w:sz w:val="22"/>
              </w:rPr>
            </w:pPr>
            <w:r w:rsidRPr="00845B9B">
              <w:rPr>
                <w:rFonts w:ascii="Arial" w:hAnsi="Arial" w:cs="Arial"/>
                <w:sz w:val="22"/>
              </w:rPr>
              <w:t xml:space="preserve">Copies of material from websites </w:t>
            </w:r>
            <w:r w:rsidRPr="00845B9B">
              <w:rPr>
                <w:rFonts w:ascii="Arial" w:hAnsi="Arial" w:cs="Arial"/>
                <w:i/>
                <w:iCs/>
                <w:sz w:val="22"/>
              </w:rPr>
              <w:t>where the website is identified.</w:t>
            </w:r>
          </w:p>
        </w:tc>
      </w:tr>
      <w:tr w:rsidR="00397BC3" w:rsidRPr="00845B9B" w14:paraId="36EB63F3" w14:textId="77777777" w:rsidTr="00397BC3">
        <w:trPr>
          <w:trHeight w:val="1561"/>
          <w:jc w:val="center"/>
        </w:trPr>
        <w:tc>
          <w:tcPr>
            <w:tcW w:w="4969" w:type="dxa"/>
          </w:tcPr>
          <w:p w14:paraId="18D9EF4C" w14:textId="77777777" w:rsidR="00397BC3" w:rsidRPr="00845B9B" w:rsidRDefault="00397BC3" w:rsidP="0004625A">
            <w:pPr>
              <w:spacing w:before="60" w:after="60"/>
              <w:rPr>
                <w:rFonts w:ascii="Arial" w:hAnsi="Arial" w:cs="Arial"/>
                <w:b/>
                <w:sz w:val="22"/>
              </w:rPr>
            </w:pPr>
            <w:r w:rsidRPr="00845B9B">
              <w:rPr>
                <w:rFonts w:ascii="Arial" w:hAnsi="Arial" w:cs="Arial"/>
                <w:b/>
                <w:sz w:val="22"/>
              </w:rPr>
              <w:t xml:space="preserve">Requests by a third party for research to support: </w:t>
            </w:r>
          </w:p>
          <w:p w14:paraId="7BBDEE0E" w14:textId="77777777" w:rsidR="00397BC3" w:rsidRPr="00845B9B" w:rsidRDefault="00397BC3" w:rsidP="00397BC3">
            <w:pPr>
              <w:numPr>
                <w:ilvl w:val="0"/>
                <w:numId w:val="11"/>
              </w:numPr>
              <w:spacing w:before="60" w:after="60"/>
              <w:rPr>
                <w:rFonts w:ascii="Arial" w:hAnsi="Arial" w:cs="Arial"/>
                <w:b/>
                <w:sz w:val="22"/>
              </w:rPr>
            </w:pPr>
            <w:r w:rsidRPr="00845B9B">
              <w:rPr>
                <w:rFonts w:ascii="Arial" w:hAnsi="Arial" w:cs="Arial"/>
                <w:bCs/>
                <w:sz w:val="22"/>
              </w:rPr>
              <w:t>Preparation of formulary appraisals, clinical guidelines, bulletins, patient information leaflets etc.</w:t>
            </w:r>
          </w:p>
          <w:p w14:paraId="406278CF" w14:textId="77777777" w:rsidR="00397BC3" w:rsidRPr="00845B9B" w:rsidRDefault="00397BC3" w:rsidP="0004625A">
            <w:pPr>
              <w:spacing w:before="60" w:after="60"/>
              <w:rPr>
                <w:rFonts w:ascii="Arial" w:hAnsi="Arial" w:cs="Arial"/>
                <w:sz w:val="22"/>
              </w:rPr>
            </w:pPr>
          </w:p>
        </w:tc>
        <w:tc>
          <w:tcPr>
            <w:tcW w:w="5887" w:type="dxa"/>
          </w:tcPr>
          <w:p w14:paraId="1CC1826E" w14:textId="77777777" w:rsidR="00397BC3" w:rsidRPr="00363EBD" w:rsidRDefault="00397BC3" w:rsidP="0004625A">
            <w:pPr>
              <w:pStyle w:val="BodyText"/>
              <w:spacing w:before="60" w:after="60"/>
              <w:rPr>
                <w:rFonts w:cs="Arial"/>
                <w:sz w:val="22"/>
              </w:rPr>
            </w:pPr>
            <w:r w:rsidRPr="00363EBD">
              <w:rPr>
                <w:rFonts w:cs="Arial"/>
                <w:sz w:val="22"/>
              </w:rPr>
              <w:t>Active Work:</w:t>
            </w:r>
          </w:p>
          <w:p w14:paraId="46B578A6" w14:textId="77777777" w:rsidR="00397BC3" w:rsidRPr="001F7D93" w:rsidRDefault="00397BC3" w:rsidP="00397BC3">
            <w:pPr>
              <w:numPr>
                <w:ilvl w:val="0"/>
                <w:numId w:val="10"/>
              </w:numPr>
              <w:spacing w:before="60" w:after="60"/>
              <w:rPr>
                <w:rFonts w:ascii="Arial" w:hAnsi="Arial" w:cs="Arial"/>
                <w:bCs/>
                <w:sz w:val="22"/>
              </w:rPr>
            </w:pPr>
            <w:r w:rsidRPr="00845B9B">
              <w:rPr>
                <w:rFonts w:ascii="Arial" w:hAnsi="Arial" w:cs="Arial"/>
                <w:sz w:val="22"/>
              </w:rPr>
              <w:t>Consider using project management</w:t>
            </w:r>
            <w:r>
              <w:rPr>
                <w:rFonts w:ascii="Arial" w:hAnsi="Arial" w:cs="Arial"/>
                <w:sz w:val="22"/>
              </w:rPr>
              <w:t xml:space="preserve"> </w:t>
            </w:r>
            <w:r w:rsidRPr="00845B9B">
              <w:rPr>
                <w:rFonts w:ascii="Arial" w:hAnsi="Arial" w:cs="Arial"/>
                <w:sz w:val="22"/>
              </w:rPr>
              <w:t xml:space="preserve">functions in </w:t>
            </w:r>
            <w:proofErr w:type="spellStart"/>
            <w:r w:rsidRPr="00845B9B">
              <w:rPr>
                <w:rFonts w:ascii="Arial" w:hAnsi="Arial" w:cs="Arial"/>
                <w:sz w:val="22"/>
              </w:rPr>
              <w:t>MiD</w:t>
            </w:r>
            <w:r>
              <w:rPr>
                <w:rFonts w:ascii="Arial" w:hAnsi="Arial" w:cs="Arial"/>
                <w:sz w:val="22"/>
              </w:rPr>
              <w:t>a</w:t>
            </w:r>
            <w:r w:rsidRPr="00845B9B">
              <w:rPr>
                <w:rFonts w:ascii="Arial" w:hAnsi="Arial" w:cs="Arial"/>
                <w:sz w:val="22"/>
              </w:rPr>
              <w:t>tabank</w:t>
            </w:r>
            <w:proofErr w:type="spellEnd"/>
            <w:r w:rsidRPr="00845B9B">
              <w:rPr>
                <w:rFonts w:ascii="Arial" w:hAnsi="Arial" w:cs="Arial"/>
                <w:sz w:val="22"/>
              </w:rPr>
              <w:t>.</w:t>
            </w:r>
          </w:p>
          <w:p w14:paraId="3AE2451B" w14:textId="77777777" w:rsidR="00397BC3" w:rsidRPr="00845B9B" w:rsidRDefault="00397BC3" w:rsidP="00397BC3">
            <w:pPr>
              <w:numPr>
                <w:ilvl w:val="0"/>
                <w:numId w:val="10"/>
              </w:numPr>
              <w:spacing w:before="60" w:after="60"/>
              <w:rPr>
                <w:rFonts w:ascii="Arial" w:hAnsi="Arial" w:cs="Arial"/>
                <w:bCs/>
                <w:sz w:val="22"/>
              </w:rPr>
            </w:pPr>
            <w:r w:rsidRPr="00845B9B">
              <w:rPr>
                <w:rFonts w:ascii="Arial" w:hAnsi="Arial" w:cs="Arial"/>
                <w:bCs/>
                <w:sz w:val="22"/>
              </w:rPr>
              <w:t xml:space="preserve">Preparation of work initiated by MI itself. </w:t>
            </w:r>
            <w:proofErr w:type="gramStart"/>
            <w:r w:rsidRPr="00845B9B">
              <w:rPr>
                <w:rFonts w:ascii="Arial" w:hAnsi="Arial" w:cs="Arial"/>
                <w:bCs/>
                <w:sz w:val="22"/>
              </w:rPr>
              <w:t>e.g</w:t>
            </w:r>
            <w:proofErr w:type="gramEnd"/>
            <w:r w:rsidRPr="00845B9B">
              <w:rPr>
                <w:rFonts w:ascii="Arial" w:hAnsi="Arial" w:cs="Arial"/>
                <w:bCs/>
                <w:sz w:val="22"/>
              </w:rPr>
              <w:t>. formulary appraisals, clinical guidelines, bulletins, patient information leaflets.</w:t>
            </w:r>
          </w:p>
          <w:p w14:paraId="1581FD9E" w14:textId="77777777" w:rsidR="00397BC3" w:rsidRPr="00845B9B" w:rsidRDefault="00397BC3" w:rsidP="00397BC3">
            <w:pPr>
              <w:numPr>
                <w:ilvl w:val="0"/>
                <w:numId w:val="10"/>
              </w:numPr>
              <w:spacing w:before="60" w:after="60"/>
              <w:rPr>
                <w:rFonts w:ascii="Arial" w:hAnsi="Arial" w:cs="Arial"/>
                <w:sz w:val="22"/>
              </w:rPr>
            </w:pPr>
            <w:proofErr w:type="spellStart"/>
            <w:r w:rsidRPr="00845B9B">
              <w:rPr>
                <w:rFonts w:ascii="Arial" w:hAnsi="Arial" w:cs="Arial"/>
                <w:bCs/>
                <w:sz w:val="22"/>
              </w:rPr>
              <w:t>UKMi</w:t>
            </w:r>
            <w:proofErr w:type="spellEnd"/>
            <w:r w:rsidRPr="00845B9B">
              <w:rPr>
                <w:rFonts w:ascii="Arial" w:hAnsi="Arial" w:cs="Arial"/>
                <w:bCs/>
                <w:sz w:val="22"/>
              </w:rPr>
              <w:t xml:space="preserve"> work e.g. </w:t>
            </w:r>
            <w:r w:rsidRPr="00845B9B">
              <w:rPr>
                <w:rFonts w:ascii="Arial" w:hAnsi="Arial" w:cs="Arial"/>
                <w:sz w:val="22"/>
              </w:rPr>
              <w:t xml:space="preserve">MI training material, policies, consultations, new products, working parties. </w:t>
            </w:r>
          </w:p>
        </w:tc>
      </w:tr>
      <w:tr w:rsidR="00397BC3" w:rsidRPr="00845B9B" w14:paraId="0FF3DFB4" w14:textId="77777777" w:rsidTr="00397BC3">
        <w:trPr>
          <w:trHeight w:val="376"/>
          <w:jc w:val="center"/>
        </w:trPr>
        <w:tc>
          <w:tcPr>
            <w:tcW w:w="10856" w:type="dxa"/>
            <w:gridSpan w:val="2"/>
            <w:shd w:val="clear" w:color="auto" w:fill="548DD4"/>
          </w:tcPr>
          <w:p w14:paraId="7F663B0A" w14:textId="77777777" w:rsidR="00397BC3" w:rsidRPr="00845B9B" w:rsidRDefault="00397BC3" w:rsidP="0004625A">
            <w:pPr>
              <w:spacing w:before="120" w:after="120"/>
              <w:jc w:val="center"/>
              <w:rPr>
                <w:rFonts w:ascii="Arial" w:hAnsi="Arial" w:cs="Arial"/>
                <w:color w:val="FFFFFF"/>
              </w:rPr>
            </w:pPr>
            <w:r w:rsidRPr="00845B9B">
              <w:rPr>
                <w:rFonts w:ascii="Arial" w:hAnsi="Arial" w:cs="Arial"/>
                <w:b/>
                <w:color w:val="FFFFFF"/>
              </w:rPr>
              <w:t>N.B.</w:t>
            </w:r>
            <w:r w:rsidRPr="00845B9B">
              <w:rPr>
                <w:rFonts w:ascii="Arial" w:hAnsi="Arial" w:cs="Arial"/>
                <w:color w:val="FFFFFF"/>
              </w:rPr>
              <w:t xml:space="preserve"> Centres should keep a separate record of active work, </w:t>
            </w:r>
            <w:proofErr w:type="spellStart"/>
            <w:r w:rsidRPr="00845B9B">
              <w:rPr>
                <w:rFonts w:ascii="Arial" w:hAnsi="Arial" w:cs="Arial"/>
                <w:color w:val="FFFFFF"/>
              </w:rPr>
              <w:t>UKMi</w:t>
            </w:r>
            <w:proofErr w:type="spellEnd"/>
            <w:r w:rsidRPr="00845B9B">
              <w:rPr>
                <w:rFonts w:ascii="Arial" w:hAnsi="Arial" w:cs="Arial"/>
                <w:color w:val="FFFFFF"/>
              </w:rPr>
              <w:t xml:space="preserve"> work, lectures and requests for copies of copyright material.</w:t>
            </w:r>
          </w:p>
        </w:tc>
      </w:tr>
    </w:tbl>
    <w:p w14:paraId="19D9B39E" w14:textId="77777777" w:rsidR="00397BC3" w:rsidRDefault="00F14CBD">
      <w:pPr>
        <w:rPr>
          <w:rFonts w:ascii="Arial" w:hAnsi="Arial" w:cs="Arial"/>
        </w:rPr>
      </w:pPr>
      <w:r>
        <w:rPr>
          <w:noProof/>
          <w:sz w:val="22"/>
        </w:rPr>
        <w:pict w14:anchorId="09ADD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15pt;margin-top:10.1pt;width:70.7pt;height:41.2pt;z-index:251660288;mso-wrap-edited:f;mso-position-horizontal-relative:text;mso-position-vertical-relative:text" wrapcoords="19800 0 2400 3600 0 4320 -200 8640 -200 16920 10800 17280 600 19080 -200 19080 -200 21240 20200 21240 20600 19800 10800 17280 19200 17280 21600 15840 21600 0 19800 0">
            <v:imagedata r:id="rId9" o:title=""/>
          </v:shape>
          <o:OLEObject Type="Embed" ProgID="MSPhotoEd.3" ShapeID="_x0000_s1026" DrawAspect="Content" ObjectID="_1745739754" r:id="rId10"/>
        </w:pict>
      </w:r>
    </w:p>
    <w:p w14:paraId="4FCC62DA" w14:textId="77777777" w:rsidR="00397BC3" w:rsidRDefault="00397BC3" w:rsidP="0004625A">
      <w:pPr>
        <w:rPr>
          <w:rFonts w:ascii="Arial" w:hAnsi="Arial" w:cs="Arial"/>
        </w:rPr>
      </w:pPr>
    </w:p>
    <w:p w14:paraId="6EF936B6" w14:textId="77777777" w:rsidR="00397BC3" w:rsidRDefault="00397BC3" w:rsidP="00D84415">
      <w:pPr>
        <w:rPr>
          <w:rFonts w:ascii="Verdana" w:hAnsi="Verdana"/>
          <w:sz w:val="22"/>
          <w:szCs w:val="22"/>
        </w:rPr>
      </w:pPr>
    </w:p>
    <w:p w14:paraId="69B4C512" w14:textId="77777777" w:rsidR="00C75A79" w:rsidRDefault="00C75A79" w:rsidP="00D84415">
      <w:pPr>
        <w:rPr>
          <w:rFonts w:ascii="Verdana" w:hAnsi="Verdana"/>
          <w:sz w:val="22"/>
          <w:szCs w:val="22"/>
        </w:rPr>
      </w:pPr>
    </w:p>
    <w:p w14:paraId="33ED9E98" w14:textId="77777777" w:rsidR="00397BC3" w:rsidRDefault="00397BC3" w:rsidP="00D84415">
      <w:pPr>
        <w:rPr>
          <w:rFonts w:ascii="Verdana" w:hAnsi="Verdana"/>
          <w:sz w:val="22"/>
          <w:szCs w:val="22"/>
        </w:rPr>
      </w:pPr>
    </w:p>
    <w:p w14:paraId="52B9832D" w14:textId="77777777" w:rsidR="00503FE4" w:rsidRDefault="00C75A79" w:rsidP="00397BC3">
      <w:pPr>
        <w:ind w:left="-993"/>
        <w:rPr>
          <w:rFonts w:ascii="Verdana" w:hAnsi="Verdana"/>
          <w:sz w:val="22"/>
          <w:szCs w:val="22"/>
        </w:rPr>
      </w:pPr>
      <w:r>
        <w:rPr>
          <w:rFonts w:ascii="Verdana" w:hAnsi="Verdana"/>
          <w:sz w:val="22"/>
          <w:szCs w:val="22"/>
        </w:rPr>
        <w:t xml:space="preserve">Appendix2. </w:t>
      </w:r>
      <w:r w:rsidRPr="00397BC3">
        <w:rPr>
          <w:rFonts w:ascii="Verdana" w:hAnsi="Verdana"/>
          <w:sz w:val="22"/>
          <w:szCs w:val="22"/>
        </w:rPr>
        <w:t>Enquiry level guidance</w:t>
      </w:r>
    </w:p>
    <w:p w14:paraId="31EA3FAC" w14:textId="77777777" w:rsidR="00397BC3" w:rsidRDefault="00397BC3" w:rsidP="00397BC3">
      <w:pPr>
        <w:ind w:left="-993"/>
        <w:rPr>
          <w:rFonts w:ascii="Verdana" w:hAnsi="Verdana"/>
          <w:sz w:val="22"/>
          <w:szCs w:val="22"/>
        </w:rPr>
      </w:pPr>
    </w:p>
    <w:p w14:paraId="029979A9" w14:textId="77777777" w:rsidR="00397BC3" w:rsidRPr="009F238C" w:rsidRDefault="00397BC3" w:rsidP="00397BC3">
      <w:pPr>
        <w:pStyle w:val="Heading2"/>
        <w:pBdr>
          <w:top w:val="single" w:sz="4" w:space="1" w:color="auto"/>
          <w:left w:val="single" w:sz="4" w:space="4" w:color="auto"/>
          <w:bottom w:val="single" w:sz="4" w:space="1" w:color="auto"/>
          <w:right w:val="single" w:sz="4" w:space="4" w:color="auto"/>
        </w:pBdr>
        <w:shd w:val="clear" w:color="auto" w:fill="0000FF"/>
        <w:ind w:left="-993" w:right="-908"/>
        <w:jc w:val="center"/>
        <w:rPr>
          <w:color w:val="FFFFFF"/>
          <w:sz w:val="28"/>
          <w:szCs w:val="28"/>
        </w:rPr>
      </w:pPr>
      <w:bookmarkStart w:id="1" w:name="_Toc222650766"/>
      <w:r>
        <w:rPr>
          <w:color w:val="FFFFFF"/>
          <w:sz w:val="28"/>
          <w:szCs w:val="28"/>
        </w:rPr>
        <w:t xml:space="preserve">Guidance notes </w:t>
      </w:r>
      <w:bookmarkStart w:id="2" w:name="defrankenq"/>
      <w:bookmarkEnd w:id="2"/>
      <w:r w:rsidRPr="009F238C">
        <w:rPr>
          <w:color w:val="FFFFFF"/>
          <w:sz w:val="28"/>
          <w:szCs w:val="28"/>
        </w:rPr>
        <w:t>for ranking enquiries</w:t>
      </w:r>
      <w:bookmarkEnd w:id="1"/>
    </w:p>
    <w:p w14:paraId="54DD0982" w14:textId="77777777" w:rsidR="00397BC3" w:rsidRDefault="00397BC3" w:rsidP="0004625A">
      <w:pPr>
        <w:pStyle w:val="BodyText"/>
        <w:jc w:val="both"/>
        <w:rPr>
          <w:rFonts w:cs="Arial"/>
          <w:sz w:val="10"/>
        </w:rPr>
      </w:pPr>
    </w:p>
    <w:p w14:paraId="3EC29426" w14:textId="77777777" w:rsidR="00397BC3" w:rsidRDefault="00397BC3" w:rsidP="00397BC3">
      <w:pPr>
        <w:ind w:left="-851"/>
        <w:rPr>
          <w:rFonts w:cs="Arial"/>
          <w:iCs/>
        </w:rPr>
      </w:pPr>
      <w:r>
        <w:rPr>
          <w:rFonts w:cs="Arial"/>
          <w:iCs/>
        </w:rPr>
        <w:t>Notes:</w:t>
      </w:r>
    </w:p>
    <w:p w14:paraId="49BA5111" w14:textId="77777777" w:rsidR="00397BC3" w:rsidRPr="00E54323" w:rsidRDefault="00397BC3" w:rsidP="00397BC3">
      <w:pPr>
        <w:numPr>
          <w:ilvl w:val="0"/>
          <w:numId w:val="15"/>
        </w:numPr>
        <w:tabs>
          <w:tab w:val="clear" w:pos="720"/>
          <w:tab w:val="num" w:pos="-284"/>
        </w:tabs>
        <w:ind w:left="-284" w:right="-58" w:firstLine="0"/>
      </w:pPr>
      <w:r>
        <w:rPr>
          <w:rFonts w:cs="Arial"/>
          <w:iCs/>
        </w:rPr>
        <w:t xml:space="preserve">Level is independent of the </w:t>
      </w:r>
      <w:r w:rsidRPr="00E54323">
        <w:rPr>
          <w:rFonts w:cs="Arial"/>
          <w:i/>
          <w:iCs/>
        </w:rPr>
        <w:t>time taken</w:t>
      </w:r>
      <w:r>
        <w:rPr>
          <w:rFonts w:cs="Arial"/>
          <w:iCs/>
        </w:rPr>
        <w:t xml:space="preserve"> to complete the enquiry. </w:t>
      </w:r>
    </w:p>
    <w:p w14:paraId="0BC4DC29" w14:textId="77777777" w:rsidR="00397BC3" w:rsidRPr="00E54323" w:rsidRDefault="00397BC3" w:rsidP="00397BC3">
      <w:pPr>
        <w:numPr>
          <w:ilvl w:val="0"/>
          <w:numId w:val="15"/>
        </w:numPr>
        <w:tabs>
          <w:tab w:val="clear" w:pos="720"/>
          <w:tab w:val="num" w:pos="-284"/>
        </w:tabs>
        <w:ind w:left="-284" w:right="-58" w:firstLine="0"/>
      </w:pPr>
      <w:r>
        <w:rPr>
          <w:rFonts w:cs="Arial"/>
          <w:iCs/>
        </w:rPr>
        <w:t xml:space="preserve">Level is independent of the </w:t>
      </w:r>
      <w:r w:rsidRPr="00E54323">
        <w:rPr>
          <w:rFonts w:cs="Arial"/>
          <w:i/>
          <w:iCs/>
        </w:rPr>
        <w:t>method</w:t>
      </w:r>
      <w:r>
        <w:rPr>
          <w:rFonts w:cs="Arial"/>
          <w:iCs/>
        </w:rPr>
        <w:t xml:space="preserve"> used to communicate the answer.</w:t>
      </w:r>
    </w:p>
    <w:p w14:paraId="1A3EC25A" w14:textId="77777777" w:rsidR="00397BC3" w:rsidRPr="00E54323" w:rsidRDefault="00397BC3" w:rsidP="00397BC3">
      <w:pPr>
        <w:numPr>
          <w:ilvl w:val="0"/>
          <w:numId w:val="15"/>
        </w:numPr>
        <w:tabs>
          <w:tab w:val="clear" w:pos="720"/>
          <w:tab w:val="num" w:pos="0"/>
        </w:tabs>
        <w:ind w:left="0" w:right="-58" w:hanging="284"/>
      </w:pPr>
      <w:r>
        <w:rPr>
          <w:rFonts w:cs="Arial"/>
          <w:iCs/>
        </w:rPr>
        <w:t>T</w:t>
      </w:r>
      <w:r w:rsidRPr="003C5BFB">
        <w:rPr>
          <w:rFonts w:cs="Arial"/>
          <w:iCs/>
        </w:rPr>
        <w:t>here is a degree of subjectivity when assessing levels</w:t>
      </w:r>
      <w:r>
        <w:rPr>
          <w:rFonts w:cs="Arial"/>
          <w:iCs/>
        </w:rPr>
        <w:t>;</w:t>
      </w:r>
      <w:r w:rsidRPr="003C5BFB">
        <w:rPr>
          <w:rFonts w:cs="Arial"/>
          <w:iCs/>
        </w:rPr>
        <w:t xml:space="preserve"> no system can completely remove this</w:t>
      </w:r>
      <w:r w:rsidRPr="00E46BAE">
        <w:rPr>
          <w:rFonts w:cs="Arial"/>
          <w:iCs/>
        </w:rPr>
        <w:t>.</w:t>
      </w:r>
      <w:r w:rsidRPr="00E46BAE">
        <w:rPr>
          <w:iCs/>
        </w:rPr>
        <w:t xml:space="preserve"> </w:t>
      </w:r>
    </w:p>
    <w:p w14:paraId="74B2A5AC" w14:textId="77777777" w:rsidR="00397BC3" w:rsidRDefault="00397BC3" w:rsidP="00397BC3">
      <w:pPr>
        <w:numPr>
          <w:ilvl w:val="0"/>
          <w:numId w:val="15"/>
        </w:numPr>
        <w:tabs>
          <w:tab w:val="clear" w:pos="720"/>
          <w:tab w:val="num" w:pos="0"/>
        </w:tabs>
        <w:ind w:left="0" w:right="-58" w:hanging="284"/>
      </w:pPr>
      <w:r>
        <w:rPr>
          <w:iCs/>
        </w:rPr>
        <w:t xml:space="preserve">The </w:t>
      </w:r>
      <w:r w:rsidRPr="00E46BAE">
        <w:rPr>
          <w:iCs/>
        </w:rPr>
        <w:t>way an enquiry is received may partly determine its level. The questioning skills of experienced MI staff may turn an apparently straightforward level 1 enquiry into a level 2 or 3 once the full clinical implications have been teased out.</w:t>
      </w:r>
    </w:p>
    <w:p w14:paraId="048AB36B" w14:textId="77777777" w:rsidR="00397BC3" w:rsidRDefault="00397BC3" w:rsidP="00397BC3">
      <w:pPr>
        <w:numPr>
          <w:ilvl w:val="0"/>
          <w:numId w:val="15"/>
        </w:numPr>
        <w:tabs>
          <w:tab w:val="clear" w:pos="720"/>
          <w:tab w:val="num" w:pos="0"/>
        </w:tabs>
        <w:ind w:left="0" w:right="-58" w:hanging="284"/>
      </w:pPr>
      <w:r>
        <w:rPr>
          <w:iCs/>
        </w:rPr>
        <w:t>Examples are for guidance only; some categories of enquiry may sometimes fit better into another. E.g. enquiries about drugs in pregnancy and lactation (listed as levels 2 and 3) may sometimes fit into level 1 if the drug concerned is widely used in pregnancy and its safety is well known.</w:t>
      </w:r>
    </w:p>
    <w:p w14:paraId="5811D421" w14:textId="77777777" w:rsidR="00397BC3" w:rsidRDefault="00397BC3" w:rsidP="0004625A">
      <w:pPr>
        <w:pStyle w:val="BodyText"/>
        <w:rPr>
          <w:rFonts w:cs="Arial"/>
          <w:b w:val="0"/>
          <w:iCs/>
          <w:sz w:val="20"/>
        </w:rPr>
      </w:pPr>
    </w:p>
    <w:tbl>
      <w:tblPr>
        <w:tblW w:w="10548"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3855"/>
        <w:gridCol w:w="5002"/>
      </w:tblGrid>
      <w:tr w:rsidR="00397BC3" w:rsidRPr="0034434C" w14:paraId="68CA0C03" w14:textId="77777777" w:rsidTr="00397BC3">
        <w:tc>
          <w:tcPr>
            <w:tcW w:w="1691" w:type="dxa"/>
            <w:tcBorders>
              <w:bottom w:val="single" w:sz="4" w:space="0" w:color="auto"/>
            </w:tcBorders>
          </w:tcPr>
          <w:p w14:paraId="3F03E209" w14:textId="77777777" w:rsidR="00397BC3" w:rsidRPr="0034434C" w:rsidRDefault="00397BC3" w:rsidP="0004625A">
            <w:pPr>
              <w:pStyle w:val="BodyText"/>
              <w:spacing w:before="60" w:after="60"/>
              <w:jc w:val="center"/>
              <w:rPr>
                <w:rFonts w:ascii="Tahoma" w:hAnsi="Tahoma" w:cs="Tahoma"/>
                <w:b w:val="0"/>
                <w:iCs/>
                <w:szCs w:val="22"/>
              </w:rPr>
            </w:pPr>
            <w:r w:rsidRPr="0034434C">
              <w:rPr>
                <w:rFonts w:ascii="Tahoma" w:hAnsi="Tahoma" w:cs="Tahoma"/>
                <w:b w:val="0"/>
                <w:iCs/>
                <w:szCs w:val="22"/>
              </w:rPr>
              <w:t>Level description</w:t>
            </w:r>
          </w:p>
        </w:tc>
        <w:tc>
          <w:tcPr>
            <w:tcW w:w="3855" w:type="dxa"/>
            <w:tcBorders>
              <w:bottom w:val="single" w:sz="4" w:space="0" w:color="auto"/>
            </w:tcBorders>
          </w:tcPr>
          <w:p w14:paraId="13034A44" w14:textId="77777777" w:rsidR="00397BC3" w:rsidRPr="0034434C" w:rsidRDefault="00397BC3" w:rsidP="0004625A">
            <w:pPr>
              <w:pStyle w:val="BodyText"/>
              <w:spacing w:before="60" w:after="60"/>
              <w:jc w:val="center"/>
              <w:rPr>
                <w:rFonts w:ascii="Tahoma" w:hAnsi="Tahoma" w:cs="Tahoma"/>
                <w:b w:val="0"/>
                <w:iCs/>
                <w:szCs w:val="22"/>
              </w:rPr>
            </w:pPr>
            <w:r w:rsidRPr="0034434C">
              <w:rPr>
                <w:rFonts w:ascii="Tahoma" w:hAnsi="Tahoma" w:cs="Tahoma"/>
                <w:b w:val="0"/>
                <w:iCs/>
                <w:szCs w:val="22"/>
              </w:rPr>
              <w:t>Guidance notes</w:t>
            </w:r>
          </w:p>
        </w:tc>
        <w:tc>
          <w:tcPr>
            <w:tcW w:w="5002" w:type="dxa"/>
            <w:tcBorders>
              <w:bottom w:val="single" w:sz="4" w:space="0" w:color="auto"/>
            </w:tcBorders>
          </w:tcPr>
          <w:p w14:paraId="0044C1C3" w14:textId="77777777" w:rsidR="00397BC3" w:rsidRPr="0034434C" w:rsidRDefault="00397BC3" w:rsidP="0004625A">
            <w:pPr>
              <w:pStyle w:val="BodyText"/>
              <w:spacing w:before="60" w:after="60"/>
              <w:jc w:val="center"/>
              <w:rPr>
                <w:rFonts w:ascii="Tahoma" w:hAnsi="Tahoma" w:cs="Tahoma"/>
                <w:b w:val="0"/>
                <w:iCs/>
                <w:szCs w:val="22"/>
              </w:rPr>
            </w:pPr>
            <w:r w:rsidRPr="0034434C">
              <w:rPr>
                <w:rFonts w:ascii="Tahoma" w:hAnsi="Tahoma" w:cs="Tahoma"/>
                <w:b w:val="0"/>
                <w:iCs/>
                <w:szCs w:val="22"/>
              </w:rPr>
              <w:t>Examples</w:t>
            </w:r>
          </w:p>
        </w:tc>
      </w:tr>
      <w:tr w:rsidR="00397BC3" w:rsidRPr="0034434C" w14:paraId="4FAC9CEC" w14:textId="77777777" w:rsidTr="00397BC3">
        <w:tc>
          <w:tcPr>
            <w:tcW w:w="10548" w:type="dxa"/>
            <w:gridSpan w:val="3"/>
            <w:shd w:val="clear" w:color="auto" w:fill="0000FF"/>
          </w:tcPr>
          <w:p w14:paraId="2A3BB572" w14:textId="77777777" w:rsidR="00397BC3" w:rsidRPr="0034434C" w:rsidRDefault="00397BC3" w:rsidP="0004625A">
            <w:pPr>
              <w:pStyle w:val="BodyText"/>
              <w:spacing w:before="60" w:after="60"/>
              <w:jc w:val="center"/>
              <w:rPr>
                <w:rFonts w:ascii="Tahoma" w:hAnsi="Tahoma" w:cs="Tahoma"/>
                <w:b w:val="0"/>
                <w:iCs/>
                <w:color w:val="FFFFFF"/>
                <w:sz w:val="20"/>
              </w:rPr>
            </w:pPr>
            <w:r w:rsidRPr="0034434C">
              <w:rPr>
                <w:rFonts w:ascii="Tahoma" w:hAnsi="Tahoma" w:cs="Tahoma"/>
                <w:b w:val="0"/>
                <w:iCs/>
                <w:color w:val="FFFFFF"/>
              </w:rPr>
              <w:t>Level 1</w:t>
            </w:r>
          </w:p>
        </w:tc>
      </w:tr>
      <w:tr w:rsidR="00397BC3" w:rsidRPr="0034434C" w14:paraId="2C774D3A" w14:textId="77777777" w:rsidTr="00397BC3">
        <w:tc>
          <w:tcPr>
            <w:tcW w:w="1691" w:type="dxa"/>
            <w:tcBorders>
              <w:bottom w:val="single" w:sz="4" w:space="0" w:color="auto"/>
            </w:tcBorders>
          </w:tcPr>
          <w:p w14:paraId="2C0CE0A7" w14:textId="77777777" w:rsidR="00397BC3" w:rsidRPr="0034434C" w:rsidRDefault="00397BC3" w:rsidP="0004625A">
            <w:pPr>
              <w:pStyle w:val="BodyText"/>
              <w:spacing w:before="60" w:after="60"/>
              <w:rPr>
                <w:rFonts w:ascii="Tahoma" w:hAnsi="Tahoma" w:cs="Tahoma"/>
                <w:b w:val="0"/>
                <w:iCs/>
                <w:sz w:val="20"/>
              </w:rPr>
            </w:pPr>
            <w:r w:rsidRPr="0034434C">
              <w:rPr>
                <w:rFonts w:ascii="Tahoma" w:hAnsi="Tahoma" w:cs="Tahoma"/>
                <w:iCs/>
              </w:rPr>
              <w:t>Simple enquiries or data</w:t>
            </w:r>
          </w:p>
        </w:tc>
        <w:tc>
          <w:tcPr>
            <w:tcW w:w="3855" w:type="dxa"/>
            <w:tcBorders>
              <w:bottom w:val="single" w:sz="4" w:space="0" w:color="auto"/>
            </w:tcBorders>
          </w:tcPr>
          <w:p w14:paraId="0513351F"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 xml:space="preserve">Requests for information which any pharmacist or accredited pharmacy technician would be expected to deal with using readily available sources.  </w:t>
            </w:r>
          </w:p>
          <w:p w14:paraId="4CE9A08E"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 xml:space="preserve">Enquiries answered solely using sources such as local formulary/guidelines, paediatric formularies, or electronic databases such as </w:t>
            </w:r>
            <w:proofErr w:type="spellStart"/>
            <w:r w:rsidRPr="0034434C">
              <w:rPr>
                <w:rFonts w:ascii="Tahoma" w:hAnsi="Tahoma" w:cs="Tahoma"/>
              </w:rPr>
              <w:t>Drugdex</w:t>
            </w:r>
            <w:proofErr w:type="spellEnd"/>
            <w:r w:rsidRPr="0034434C">
              <w:rPr>
                <w:rFonts w:ascii="Tahoma" w:hAnsi="Tahoma" w:cs="Tahoma"/>
              </w:rPr>
              <w:t xml:space="preserve">. </w:t>
            </w:r>
          </w:p>
          <w:p w14:paraId="39C14D90"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 xml:space="preserve">Information from such sources passed on to the enquirer without further evaluation or interpretation. </w:t>
            </w:r>
          </w:p>
          <w:p w14:paraId="47C96F52" w14:textId="77777777" w:rsidR="00397BC3" w:rsidRPr="0034434C" w:rsidRDefault="00397BC3" w:rsidP="0004625A">
            <w:pPr>
              <w:pStyle w:val="BodyText"/>
              <w:spacing w:before="60" w:after="60"/>
              <w:rPr>
                <w:rFonts w:ascii="Tahoma" w:hAnsi="Tahoma" w:cs="Tahoma"/>
                <w:b w:val="0"/>
                <w:iCs/>
                <w:sz w:val="20"/>
              </w:rPr>
            </w:pPr>
          </w:p>
        </w:tc>
        <w:tc>
          <w:tcPr>
            <w:tcW w:w="5002" w:type="dxa"/>
            <w:tcBorders>
              <w:bottom w:val="single" w:sz="4" w:space="0" w:color="auto"/>
            </w:tcBorders>
          </w:tcPr>
          <w:p w14:paraId="15C066BF"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Requests for standard dosing information and/or administration instructions for licensed, or commonly accepted unlicensed indications. </w:t>
            </w:r>
          </w:p>
          <w:p w14:paraId="11326B95"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Basic information about well-documented adverse effects. </w:t>
            </w:r>
          </w:p>
          <w:p w14:paraId="5655DD76"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Identification of foreign drugs. </w:t>
            </w:r>
          </w:p>
          <w:p w14:paraId="371DE9C2" w14:textId="289AA230"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Tablet identification using TICTAC where further advice not required. </w:t>
            </w:r>
          </w:p>
          <w:p w14:paraId="119D94EA"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‘Librarian services’ such as finding a particular reference on Medline for which some details are known.</w:t>
            </w:r>
          </w:p>
          <w:p w14:paraId="65669BE3"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Requests to contact the pharmaceutical industry for basic information about the availability, or excipient content.</w:t>
            </w:r>
          </w:p>
        </w:tc>
      </w:tr>
      <w:tr w:rsidR="00397BC3" w:rsidRPr="0034434C" w14:paraId="1037EA8B" w14:textId="77777777" w:rsidTr="00397BC3">
        <w:tc>
          <w:tcPr>
            <w:tcW w:w="10548" w:type="dxa"/>
            <w:gridSpan w:val="3"/>
            <w:shd w:val="clear" w:color="auto" w:fill="0000FF"/>
          </w:tcPr>
          <w:p w14:paraId="77DA63E9" w14:textId="77777777" w:rsidR="00397BC3" w:rsidRPr="0034434C" w:rsidRDefault="00397BC3" w:rsidP="0004625A">
            <w:pPr>
              <w:pStyle w:val="BodyText"/>
              <w:spacing w:before="60" w:after="60"/>
              <w:jc w:val="center"/>
              <w:rPr>
                <w:rFonts w:ascii="Tahoma" w:hAnsi="Tahoma" w:cs="Tahoma"/>
                <w:b w:val="0"/>
                <w:iCs/>
                <w:color w:val="FFFFFF"/>
              </w:rPr>
            </w:pPr>
            <w:r w:rsidRPr="0034434C">
              <w:rPr>
                <w:rFonts w:ascii="Tahoma" w:hAnsi="Tahoma" w:cs="Tahoma"/>
                <w:b w:val="0"/>
                <w:iCs/>
                <w:color w:val="FFFFFF"/>
              </w:rPr>
              <w:t>Level 2</w:t>
            </w:r>
          </w:p>
        </w:tc>
      </w:tr>
      <w:tr w:rsidR="00397BC3" w:rsidRPr="0034434C" w14:paraId="1C2E72EC" w14:textId="77777777" w:rsidTr="00397BC3">
        <w:tc>
          <w:tcPr>
            <w:tcW w:w="1691" w:type="dxa"/>
            <w:tcBorders>
              <w:bottom w:val="single" w:sz="4" w:space="0" w:color="auto"/>
            </w:tcBorders>
          </w:tcPr>
          <w:p w14:paraId="4C2D8494" w14:textId="77777777" w:rsidR="00397BC3" w:rsidRPr="0034434C" w:rsidRDefault="00397BC3" w:rsidP="0004625A">
            <w:pPr>
              <w:pStyle w:val="BodyText"/>
              <w:spacing w:before="60" w:after="60"/>
              <w:rPr>
                <w:rFonts w:ascii="Tahoma" w:hAnsi="Tahoma" w:cs="Tahoma"/>
                <w:b w:val="0"/>
              </w:rPr>
            </w:pPr>
            <w:r w:rsidRPr="0034434C">
              <w:rPr>
                <w:rFonts w:ascii="Tahoma" w:hAnsi="Tahoma" w:cs="Tahoma"/>
                <w:iCs/>
              </w:rPr>
              <w:t>Complex enquiries – multiple sources</w:t>
            </w:r>
          </w:p>
        </w:tc>
        <w:tc>
          <w:tcPr>
            <w:tcW w:w="3855" w:type="dxa"/>
            <w:tcBorders>
              <w:bottom w:val="single" w:sz="4" w:space="0" w:color="auto"/>
            </w:tcBorders>
          </w:tcPr>
          <w:p w14:paraId="0943F072"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 xml:space="preserve">Enquiries that require the use of more specialist resources and/or the interrogation of multiple sources. </w:t>
            </w:r>
          </w:p>
          <w:p w14:paraId="0E6BEE41"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 xml:space="preserve">Enquiries where application of medicines information skills </w:t>
            </w:r>
            <w:r w:rsidRPr="0034434C">
              <w:rPr>
                <w:rFonts w:ascii="Tahoma" w:hAnsi="Tahoma" w:cs="Tahoma"/>
              </w:rPr>
              <w:lastRenderedPageBreak/>
              <w:t>and knowledge is needed, but sources provide a reasonably clear answer or course of action to offer the enquirer.</w:t>
            </w:r>
          </w:p>
          <w:p w14:paraId="5D9FE6DD" w14:textId="77777777" w:rsidR="00397BC3" w:rsidRPr="0034434C" w:rsidRDefault="00397BC3" w:rsidP="0004625A">
            <w:pPr>
              <w:spacing w:before="60" w:after="60"/>
              <w:ind w:left="57"/>
              <w:rPr>
                <w:rFonts w:ascii="Tahoma" w:hAnsi="Tahoma" w:cs="Tahoma"/>
              </w:rPr>
            </w:pPr>
          </w:p>
        </w:tc>
        <w:tc>
          <w:tcPr>
            <w:tcW w:w="5002" w:type="dxa"/>
            <w:tcBorders>
              <w:bottom w:val="single" w:sz="4" w:space="0" w:color="auto"/>
            </w:tcBorders>
          </w:tcPr>
          <w:p w14:paraId="5A688F6A"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lastRenderedPageBreak/>
              <w:t>Dosing information for unlicensed indications.</w:t>
            </w:r>
          </w:p>
          <w:p w14:paraId="7852BB42"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Intravenous drug compatibilities not found in standard sources e.g. admixtures or Y-site compatibilities. </w:t>
            </w:r>
          </w:p>
          <w:p w14:paraId="18E6C672"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Dosing adjustments for commonly-used drugs in organ failure. </w:t>
            </w:r>
          </w:p>
          <w:p w14:paraId="6857B371"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Information about previous case reports of an adverse drug reaction.</w:t>
            </w:r>
          </w:p>
          <w:p w14:paraId="078BE074"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Safety of drugs in pregnancy/lactation where published </w:t>
            </w:r>
            <w:r w:rsidRPr="0034434C">
              <w:rPr>
                <w:rFonts w:ascii="Tahoma" w:hAnsi="Tahoma" w:cs="Tahoma"/>
                <w:sz w:val="18"/>
                <w:szCs w:val="18"/>
              </w:rPr>
              <w:lastRenderedPageBreak/>
              <w:t>reviews give clear advice (but see below).</w:t>
            </w:r>
          </w:p>
        </w:tc>
      </w:tr>
      <w:tr w:rsidR="00397BC3" w:rsidRPr="0034434C" w14:paraId="181FA7DE" w14:textId="77777777" w:rsidTr="00397BC3">
        <w:tc>
          <w:tcPr>
            <w:tcW w:w="10548" w:type="dxa"/>
            <w:gridSpan w:val="3"/>
            <w:shd w:val="clear" w:color="auto" w:fill="0000FF"/>
          </w:tcPr>
          <w:p w14:paraId="3CFB84BA" w14:textId="77777777" w:rsidR="00397BC3" w:rsidRPr="0034434C" w:rsidRDefault="00397BC3" w:rsidP="0004625A">
            <w:pPr>
              <w:pStyle w:val="BodyText"/>
              <w:spacing w:before="60" w:after="60"/>
              <w:jc w:val="center"/>
              <w:rPr>
                <w:rFonts w:ascii="Tahoma" w:hAnsi="Tahoma" w:cs="Tahoma"/>
                <w:b w:val="0"/>
                <w:iCs/>
                <w:color w:val="FFFFFF"/>
              </w:rPr>
            </w:pPr>
            <w:r w:rsidRPr="0034434C">
              <w:rPr>
                <w:rFonts w:ascii="Tahoma" w:hAnsi="Tahoma" w:cs="Tahoma"/>
                <w:b w:val="0"/>
                <w:iCs/>
                <w:color w:val="FFFFFF"/>
              </w:rPr>
              <w:lastRenderedPageBreak/>
              <w:t>Level 3</w:t>
            </w:r>
          </w:p>
        </w:tc>
      </w:tr>
      <w:tr w:rsidR="00397BC3" w:rsidRPr="0034434C" w14:paraId="1FD0C46D" w14:textId="77777777" w:rsidTr="00397BC3">
        <w:tc>
          <w:tcPr>
            <w:tcW w:w="1691" w:type="dxa"/>
          </w:tcPr>
          <w:p w14:paraId="1177B064" w14:textId="77777777" w:rsidR="00397BC3" w:rsidRPr="0034434C" w:rsidRDefault="00397BC3" w:rsidP="0004625A">
            <w:pPr>
              <w:pStyle w:val="BodyText"/>
              <w:spacing w:before="60" w:after="60"/>
              <w:rPr>
                <w:rFonts w:ascii="Tahoma" w:hAnsi="Tahoma" w:cs="Tahoma"/>
                <w:b w:val="0"/>
                <w:iCs/>
                <w:sz w:val="20"/>
              </w:rPr>
            </w:pPr>
            <w:r w:rsidRPr="0034434C">
              <w:rPr>
                <w:rFonts w:ascii="Tahoma" w:hAnsi="Tahoma" w:cs="Tahoma"/>
                <w:iCs/>
              </w:rPr>
              <w:t>Complex enquiries – professional judgement</w:t>
            </w:r>
          </w:p>
        </w:tc>
        <w:tc>
          <w:tcPr>
            <w:tcW w:w="3855" w:type="dxa"/>
          </w:tcPr>
          <w:p w14:paraId="37B69D68"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Enquiries where the answer relies on the knowledge, experience and skill of the MI practitioner.</w:t>
            </w:r>
          </w:p>
          <w:p w14:paraId="73C177A5"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Core concepts of therapeutics, risk management and literature evaluation are applied.</w:t>
            </w:r>
          </w:p>
          <w:p w14:paraId="6017DF1D" w14:textId="77777777" w:rsidR="00397BC3" w:rsidRPr="0034434C" w:rsidRDefault="00397BC3" w:rsidP="00397BC3">
            <w:pPr>
              <w:numPr>
                <w:ilvl w:val="0"/>
                <w:numId w:val="16"/>
              </w:numPr>
              <w:tabs>
                <w:tab w:val="clear" w:pos="720"/>
                <w:tab w:val="num" w:pos="417"/>
              </w:tabs>
              <w:spacing w:before="60" w:after="60"/>
              <w:ind w:left="417"/>
              <w:rPr>
                <w:rFonts w:ascii="Tahoma" w:hAnsi="Tahoma" w:cs="Tahoma"/>
              </w:rPr>
            </w:pPr>
            <w:r w:rsidRPr="0034434C">
              <w:rPr>
                <w:rFonts w:ascii="Tahoma" w:hAnsi="Tahoma" w:cs="Tahoma"/>
              </w:rPr>
              <w:t>Complex enquiries that cover situations where individual patients have unusual co-morbidities or drug combinations.</w:t>
            </w:r>
          </w:p>
          <w:p w14:paraId="0ED74437" w14:textId="77777777" w:rsidR="00397BC3" w:rsidRPr="0034434C" w:rsidRDefault="00397BC3" w:rsidP="0004625A">
            <w:pPr>
              <w:pStyle w:val="BodyText"/>
              <w:spacing w:before="60" w:after="60"/>
              <w:ind w:left="360"/>
              <w:rPr>
                <w:rFonts w:ascii="Tahoma" w:hAnsi="Tahoma" w:cs="Tahoma"/>
                <w:sz w:val="20"/>
              </w:rPr>
            </w:pPr>
          </w:p>
        </w:tc>
        <w:tc>
          <w:tcPr>
            <w:tcW w:w="5002" w:type="dxa"/>
          </w:tcPr>
          <w:p w14:paraId="73609BF0"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Identifying the most likely causative agent of an adverse drug reaction and advising how to manage the patient.</w:t>
            </w:r>
          </w:p>
          <w:p w14:paraId="5C4B3B99"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Offering advice on an appropriate therapeutic regimen when standard options have failed and there is no literature consensus.</w:t>
            </w:r>
          </w:p>
          <w:p w14:paraId="4D3A4EB3"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Evaluating the safest and most effective treatment where there are multiple contra-indications or cautions.</w:t>
            </w:r>
          </w:p>
          <w:p w14:paraId="50E9F501"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Calculating drug doses using the first principles of pharmacokinetics or therapeutic drug monitoring.</w:t>
            </w:r>
          </w:p>
          <w:p w14:paraId="3A69083F"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 xml:space="preserve">Assessing the appropriateness of new/ experimental treatments for a patient by appraising published clinical data. </w:t>
            </w:r>
          </w:p>
          <w:p w14:paraId="6A6E2D67" w14:textId="77777777" w:rsidR="00397BC3" w:rsidRPr="0034434C" w:rsidRDefault="00397BC3" w:rsidP="00397BC3">
            <w:pPr>
              <w:numPr>
                <w:ilvl w:val="0"/>
                <w:numId w:val="14"/>
              </w:numPr>
              <w:spacing w:before="60" w:after="60"/>
              <w:rPr>
                <w:rFonts w:ascii="Tahoma" w:hAnsi="Tahoma" w:cs="Tahoma"/>
                <w:sz w:val="18"/>
                <w:szCs w:val="18"/>
              </w:rPr>
            </w:pPr>
            <w:r w:rsidRPr="0034434C">
              <w:rPr>
                <w:rFonts w:ascii="Tahoma" w:hAnsi="Tahoma" w:cs="Tahoma"/>
                <w:sz w:val="18"/>
                <w:szCs w:val="18"/>
              </w:rPr>
              <w:t>Advising on the safest injectable medicines to mix when mixing is unavoidable but there is no directly relevant published compatibility data.</w:t>
            </w:r>
          </w:p>
        </w:tc>
      </w:tr>
    </w:tbl>
    <w:p w14:paraId="270C54AD" w14:textId="77777777" w:rsidR="00397BC3" w:rsidRDefault="00397BC3" w:rsidP="0004625A">
      <w:pPr>
        <w:pStyle w:val="Heading2"/>
      </w:pPr>
    </w:p>
    <w:p w14:paraId="1F194AD7" w14:textId="77777777" w:rsidR="00397BC3" w:rsidRPr="00D84415" w:rsidRDefault="00397BC3" w:rsidP="00397BC3">
      <w:pPr>
        <w:ind w:left="-993"/>
        <w:rPr>
          <w:rFonts w:ascii="Verdana" w:hAnsi="Verdana"/>
          <w:sz w:val="22"/>
          <w:szCs w:val="22"/>
        </w:rPr>
      </w:pPr>
    </w:p>
    <w:p w14:paraId="2858D35A" w14:textId="6BAB40A8" w:rsidR="00CD48B5" w:rsidRPr="00CD48B5" w:rsidRDefault="00CD48B5" w:rsidP="00CD48B5">
      <w:pPr>
        <w:pStyle w:val="Footer"/>
        <w:tabs>
          <w:tab w:val="clear" w:pos="8306"/>
          <w:tab w:val="right" w:pos="9214"/>
        </w:tabs>
        <w:ind w:left="-1134"/>
        <w:rPr>
          <w:color w:val="A6A6A6" w:themeColor="background1" w:themeShade="A6"/>
        </w:rPr>
      </w:pPr>
    </w:p>
    <w:p w14:paraId="72B0F4D7" w14:textId="77777777" w:rsidR="003B1D92" w:rsidRPr="00FA7588" w:rsidRDefault="003B1D92" w:rsidP="00076D1D">
      <w:pPr>
        <w:rPr>
          <w:rFonts w:ascii="Verdana" w:hAnsi="Verdana"/>
          <w:sz w:val="22"/>
          <w:szCs w:val="22"/>
        </w:rPr>
      </w:pPr>
    </w:p>
    <w:sectPr w:rsidR="003B1D92" w:rsidRPr="00FA7588" w:rsidSect="00C1261F">
      <w:headerReference w:type="default" r:id="rId11"/>
      <w:footerReference w:type="default" r:id="rId12"/>
      <w:pgSz w:w="11906" w:h="16838"/>
      <w:pgMar w:top="1882" w:right="1800"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A5287" w14:textId="77777777" w:rsidR="005B0E44" w:rsidRDefault="005B0E44" w:rsidP="00870130">
      <w:r>
        <w:separator/>
      </w:r>
    </w:p>
  </w:endnote>
  <w:endnote w:type="continuationSeparator" w:id="0">
    <w:p w14:paraId="6EF68AA6" w14:textId="77777777" w:rsidR="005B0E44" w:rsidRDefault="005B0E44" w:rsidP="0087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LTPro-Light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3980" w14:textId="06786C7F" w:rsidR="00FF5FDF" w:rsidRDefault="00FF5FDF">
    <w:pPr>
      <w:pStyle w:val="Footer"/>
    </w:pPr>
    <w:r>
      <w:t>Clinical Governance Working Group, Ju</w:t>
    </w:r>
    <w:r w:rsidR="00B734AF">
      <w:t>ne</w:t>
    </w:r>
    <w:r>
      <w:t xml:space="preserve"> 2018</w:t>
    </w:r>
  </w:p>
  <w:p w14:paraId="54E6ECF9" w14:textId="11BF4C63" w:rsidR="00F14CBD" w:rsidRDefault="00F14CBD">
    <w:pPr>
      <w:pStyle w:val="Footer"/>
    </w:pPr>
    <w:r>
      <w:t>V1.1, Minor amendment 16/05/23, LK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492A7" w14:textId="77777777" w:rsidR="005B0E44" w:rsidRDefault="005B0E44" w:rsidP="00870130">
      <w:r>
        <w:separator/>
      </w:r>
    </w:p>
  </w:footnote>
  <w:footnote w:type="continuationSeparator" w:id="0">
    <w:p w14:paraId="327E8C3E" w14:textId="77777777" w:rsidR="005B0E44" w:rsidRDefault="005B0E44" w:rsidP="00870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97B08" w14:textId="6BFDEC84" w:rsidR="00870130" w:rsidRDefault="00870130">
    <w:pPr>
      <w:pStyle w:val="Header"/>
    </w:pPr>
    <w:r>
      <w:rPr>
        <w:noProof/>
        <w:lang w:val="en-GB" w:eastAsia="en-GB"/>
      </w:rPr>
      <w:drawing>
        <wp:anchor distT="0" distB="0" distL="114300" distR="114300" simplePos="0" relativeHeight="251658240" behindDoc="1" locked="0" layoutInCell="1" allowOverlap="1" wp14:anchorId="5E5E8ACB" wp14:editId="24D6574A">
          <wp:simplePos x="0" y="0"/>
          <wp:positionH relativeFrom="column">
            <wp:posOffset>-419100</wp:posOffset>
          </wp:positionH>
          <wp:positionV relativeFrom="paragraph">
            <wp:posOffset>64770</wp:posOffset>
          </wp:positionV>
          <wp:extent cx="1628775" cy="523875"/>
          <wp:effectExtent l="0" t="0" r="9525" b="9525"/>
          <wp:wrapTight wrapText="bothSides">
            <wp:wrapPolygon edited="0">
              <wp:start x="0" y="0"/>
              <wp:lineTo x="0" y="21207"/>
              <wp:lineTo x="21474" y="21207"/>
              <wp:lineTo x="21474" y="0"/>
              <wp:lineTo x="0" y="0"/>
            </wp:wrapPolygon>
          </wp:wrapTight>
          <wp:docPr id="7" name="Picture 7" descr="https://www.sps.nhs.uk/wp-content/uploads/2016/08/SPS_Logo_actua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ps.nhs.uk/wp-content/uploads/2016/08/SPS_Logo_actualSi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23875"/>
                  </a:xfrm>
                  <a:prstGeom prst="rect">
                    <a:avLst/>
                  </a:prstGeom>
                  <a:noFill/>
                  <a:ln>
                    <a:noFill/>
                  </a:ln>
                </pic:spPr>
              </pic:pic>
            </a:graphicData>
          </a:graphic>
        </wp:anchor>
      </w:drawing>
    </w:r>
    <w:r w:rsidR="00F14CBD">
      <w:t xml:space="preserve">                                                                                                                   </w:t>
    </w:r>
    <w:r w:rsidR="00F14CBD">
      <w:rPr>
        <w:noProof/>
        <w:lang w:val="en-GB" w:eastAsia="en-GB"/>
      </w:rPr>
      <w:drawing>
        <wp:inline distT="0" distB="0" distL="0" distR="0" wp14:anchorId="27C4687A" wp14:editId="1FE9EB8B">
          <wp:extent cx="1612900" cy="778641"/>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1357" cy="77789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69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5485872"/>
    <w:multiLevelType w:val="hybridMultilevel"/>
    <w:tmpl w:val="D3D41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31351B"/>
    <w:multiLevelType w:val="hybridMultilevel"/>
    <w:tmpl w:val="1A6C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52307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96B05D6"/>
    <w:multiLevelType w:val="hybridMultilevel"/>
    <w:tmpl w:val="4650E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854E2C"/>
    <w:multiLevelType w:val="hybridMultilevel"/>
    <w:tmpl w:val="6242F876"/>
    <w:lvl w:ilvl="0" w:tplc="94F295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4FE4C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5F42BE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33EA5EB7"/>
    <w:multiLevelType w:val="hybridMultilevel"/>
    <w:tmpl w:val="DA5ECCE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D366326"/>
    <w:multiLevelType w:val="hybridMultilevel"/>
    <w:tmpl w:val="C6C2A0AC"/>
    <w:lvl w:ilvl="0" w:tplc="60F4DA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F5D5F6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5DB07536"/>
    <w:multiLevelType w:val="hybridMultilevel"/>
    <w:tmpl w:val="C7A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0E6A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70C759F0"/>
    <w:multiLevelType w:val="hybridMultilevel"/>
    <w:tmpl w:val="2A42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BE656B"/>
    <w:multiLevelType w:val="hybridMultilevel"/>
    <w:tmpl w:val="1A7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D16750"/>
    <w:multiLevelType w:val="hybridMultilevel"/>
    <w:tmpl w:val="7850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3D101B"/>
    <w:multiLevelType w:val="hybridMultilevel"/>
    <w:tmpl w:val="123E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956F1F"/>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
  </w:num>
  <w:num w:numId="3">
    <w:abstractNumId w:val="1"/>
  </w:num>
  <w:num w:numId="4">
    <w:abstractNumId w:val="15"/>
  </w:num>
  <w:num w:numId="5">
    <w:abstractNumId w:val="14"/>
  </w:num>
  <w:num w:numId="6">
    <w:abstractNumId w:val="3"/>
  </w:num>
  <w:num w:numId="7">
    <w:abstractNumId w:val="7"/>
  </w:num>
  <w:num w:numId="8">
    <w:abstractNumId w:val="17"/>
  </w:num>
  <w:num w:numId="9">
    <w:abstractNumId w:val="0"/>
  </w:num>
  <w:num w:numId="10">
    <w:abstractNumId w:val="10"/>
  </w:num>
  <w:num w:numId="11">
    <w:abstractNumId w:val="12"/>
  </w:num>
  <w:num w:numId="12">
    <w:abstractNumId w:val="9"/>
  </w:num>
  <w:num w:numId="13">
    <w:abstractNumId w:val="5"/>
  </w:num>
  <w:num w:numId="14">
    <w:abstractNumId w:val="6"/>
  </w:num>
  <w:num w:numId="15">
    <w:abstractNumId w:val="4"/>
  </w:num>
  <w:num w:numId="16">
    <w:abstractNumId w:val="8"/>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FF"/>
    <w:rsid w:val="0000160E"/>
    <w:rsid w:val="00026944"/>
    <w:rsid w:val="00036352"/>
    <w:rsid w:val="0004625A"/>
    <w:rsid w:val="00076D1D"/>
    <w:rsid w:val="000827A3"/>
    <w:rsid w:val="0015219E"/>
    <w:rsid w:val="00154582"/>
    <w:rsid w:val="001C365B"/>
    <w:rsid w:val="001D01ED"/>
    <w:rsid w:val="001E4796"/>
    <w:rsid w:val="001F5B37"/>
    <w:rsid w:val="00202039"/>
    <w:rsid w:val="0022419F"/>
    <w:rsid w:val="0024046D"/>
    <w:rsid w:val="00260729"/>
    <w:rsid w:val="00284291"/>
    <w:rsid w:val="002F1784"/>
    <w:rsid w:val="00397BC3"/>
    <w:rsid w:val="003B1D92"/>
    <w:rsid w:val="003E709B"/>
    <w:rsid w:val="004008F2"/>
    <w:rsid w:val="00416579"/>
    <w:rsid w:val="00496A9E"/>
    <w:rsid w:val="00503FE4"/>
    <w:rsid w:val="00516B77"/>
    <w:rsid w:val="005654C2"/>
    <w:rsid w:val="00587AC8"/>
    <w:rsid w:val="005934DF"/>
    <w:rsid w:val="005A7A60"/>
    <w:rsid w:val="005B0E44"/>
    <w:rsid w:val="005C5A04"/>
    <w:rsid w:val="005F4EAA"/>
    <w:rsid w:val="00613DDB"/>
    <w:rsid w:val="0062690D"/>
    <w:rsid w:val="00652E62"/>
    <w:rsid w:val="006E611B"/>
    <w:rsid w:val="0072690E"/>
    <w:rsid w:val="007870AE"/>
    <w:rsid w:val="007A2020"/>
    <w:rsid w:val="007E47DE"/>
    <w:rsid w:val="00801FB0"/>
    <w:rsid w:val="00842622"/>
    <w:rsid w:val="0085097E"/>
    <w:rsid w:val="00853599"/>
    <w:rsid w:val="00870130"/>
    <w:rsid w:val="00882628"/>
    <w:rsid w:val="008A4643"/>
    <w:rsid w:val="00901655"/>
    <w:rsid w:val="009103EC"/>
    <w:rsid w:val="0095099A"/>
    <w:rsid w:val="009F5FC3"/>
    <w:rsid w:val="009F7564"/>
    <w:rsid w:val="00A46F09"/>
    <w:rsid w:val="00A7306F"/>
    <w:rsid w:val="00AF1BF3"/>
    <w:rsid w:val="00AF2D64"/>
    <w:rsid w:val="00AF69F6"/>
    <w:rsid w:val="00B00A7C"/>
    <w:rsid w:val="00B734AF"/>
    <w:rsid w:val="00BE4BCA"/>
    <w:rsid w:val="00C1261F"/>
    <w:rsid w:val="00C24730"/>
    <w:rsid w:val="00C27FF7"/>
    <w:rsid w:val="00C33EAD"/>
    <w:rsid w:val="00C75A79"/>
    <w:rsid w:val="00CD48B5"/>
    <w:rsid w:val="00D50628"/>
    <w:rsid w:val="00D6226D"/>
    <w:rsid w:val="00D70BFB"/>
    <w:rsid w:val="00D84415"/>
    <w:rsid w:val="00D91FFF"/>
    <w:rsid w:val="00E3643C"/>
    <w:rsid w:val="00E55387"/>
    <w:rsid w:val="00E625F0"/>
    <w:rsid w:val="00E747DA"/>
    <w:rsid w:val="00EC1FBB"/>
    <w:rsid w:val="00F03EFF"/>
    <w:rsid w:val="00F14CBD"/>
    <w:rsid w:val="00F1667C"/>
    <w:rsid w:val="00FA7588"/>
    <w:rsid w:val="00FF1BDD"/>
    <w:rsid w:val="00FF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648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0"/>
    <w:rPr>
      <w:sz w:val="24"/>
      <w:szCs w:val="24"/>
    </w:rPr>
  </w:style>
  <w:style w:type="paragraph" w:styleId="Heading1">
    <w:name w:val="heading 1"/>
    <w:basedOn w:val="Normal"/>
    <w:next w:val="Normal"/>
    <w:link w:val="Heading1Char"/>
    <w:qFormat/>
    <w:rsid w:val="00397BC3"/>
    <w:pPr>
      <w:keepNext/>
      <w:jc w:val="center"/>
      <w:outlineLvl w:val="0"/>
    </w:pPr>
    <w:rPr>
      <w:rFonts w:ascii="Arial" w:hAnsi="Arial"/>
      <w:b/>
      <w:szCs w:val="20"/>
      <w:lang w:val="en-US" w:eastAsia="en-US"/>
    </w:rPr>
  </w:style>
  <w:style w:type="paragraph" w:styleId="Heading2">
    <w:name w:val="heading 2"/>
    <w:basedOn w:val="Normal"/>
    <w:next w:val="Normal"/>
    <w:link w:val="Heading2Char"/>
    <w:qFormat/>
    <w:rsid w:val="00397BC3"/>
    <w:pPr>
      <w:keepNext/>
      <w:tabs>
        <w:tab w:val="left" w:pos="7797"/>
      </w:tabs>
      <w:outlineLvl w:val="1"/>
    </w:pPr>
    <w:rPr>
      <w:rFonts w:ascii="Arial" w:hAnsi="Arial"/>
      <w:b/>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52"/>
    <w:pPr>
      <w:ind w:left="720"/>
      <w:contextualSpacing/>
    </w:pPr>
  </w:style>
  <w:style w:type="character" w:styleId="Hyperlink">
    <w:name w:val="Hyperlink"/>
    <w:basedOn w:val="DefaultParagraphFont"/>
    <w:rsid w:val="00C75A79"/>
    <w:rPr>
      <w:color w:val="0000FF" w:themeColor="hyperlink"/>
      <w:u w:val="single"/>
    </w:rPr>
  </w:style>
  <w:style w:type="character" w:customStyle="1" w:styleId="Heading1Char">
    <w:name w:val="Heading 1 Char"/>
    <w:basedOn w:val="DefaultParagraphFont"/>
    <w:link w:val="Heading1"/>
    <w:rsid w:val="00397BC3"/>
    <w:rPr>
      <w:rFonts w:ascii="Arial" w:hAnsi="Arial"/>
      <w:b/>
      <w:sz w:val="24"/>
      <w:lang w:val="en-US" w:eastAsia="en-US"/>
    </w:rPr>
  </w:style>
  <w:style w:type="character" w:customStyle="1" w:styleId="Heading2Char">
    <w:name w:val="Heading 2 Char"/>
    <w:basedOn w:val="DefaultParagraphFont"/>
    <w:link w:val="Heading2"/>
    <w:rsid w:val="00397BC3"/>
    <w:rPr>
      <w:rFonts w:ascii="Arial" w:hAnsi="Arial"/>
      <w:b/>
      <w:sz w:val="32"/>
      <w:lang w:val="en-US" w:eastAsia="en-US"/>
    </w:rPr>
  </w:style>
  <w:style w:type="paragraph" w:styleId="BodyTextIndent">
    <w:name w:val="Body Text Indent"/>
    <w:basedOn w:val="Normal"/>
    <w:link w:val="BodyTextIndentChar"/>
    <w:rsid w:val="00397BC3"/>
    <w:pPr>
      <w:ind w:left="720"/>
    </w:pPr>
    <w:rPr>
      <w:szCs w:val="20"/>
      <w:lang w:val="en-US" w:eastAsia="en-US"/>
    </w:rPr>
  </w:style>
  <w:style w:type="character" w:customStyle="1" w:styleId="BodyTextIndentChar">
    <w:name w:val="Body Text Indent Char"/>
    <w:basedOn w:val="DefaultParagraphFont"/>
    <w:link w:val="BodyTextIndent"/>
    <w:rsid w:val="00397BC3"/>
    <w:rPr>
      <w:sz w:val="24"/>
      <w:lang w:val="en-US" w:eastAsia="en-US"/>
    </w:rPr>
  </w:style>
  <w:style w:type="paragraph" w:styleId="BodyText">
    <w:name w:val="Body Text"/>
    <w:basedOn w:val="Normal"/>
    <w:link w:val="BodyTextChar"/>
    <w:rsid w:val="00397BC3"/>
    <w:rPr>
      <w:rFonts w:ascii="Arial" w:hAnsi="Arial"/>
      <w:b/>
      <w:color w:val="000000"/>
      <w:szCs w:val="20"/>
      <w:lang w:val="en-US" w:eastAsia="en-US"/>
    </w:rPr>
  </w:style>
  <w:style w:type="character" w:customStyle="1" w:styleId="BodyTextChar">
    <w:name w:val="Body Text Char"/>
    <w:basedOn w:val="DefaultParagraphFont"/>
    <w:link w:val="BodyText"/>
    <w:rsid w:val="00397BC3"/>
    <w:rPr>
      <w:rFonts w:ascii="Arial" w:hAnsi="Arial"/>
      <w:b/>
      <w:color w:val="000000"/>
      <w:sz w:val="24"/>
      <w:lang w:val="en-US" w:eastAsia="en-US"/>
    </w:rPr>
  </w:style>
  <w:style w:type="paragraph" w:styleId="Footer">
    <w:name w:val="footer"/>
    <w:basedOn w:val="Normal"/>
    <w:link w:val="FooterChar"/>
    <w:rsid w:val="00CD48B5"/>
    <w:pPr>
      <w:tabs>
        <w:tab w:val="center" w:pos="4153"/>
        <w:tab w:val="right" w:pos="8306"/>
      </w:tabs>
    </w:pPr>
    <w:rPr>
      <w:rFonts w:ascii="Arial" w:hAnsi="Arial"/>
      <w:sz w:val="20"/>
      <w:szCs w:val="20"/>
      <w:lang w:eastAsia="en-US"/>
    </w:rPr>
  </w:style>
  <w:style w:type="character" w:customStyle="1" w:styleId="FooterChar">
    <w:name w:val="Footer Char"/>
    <w:basedOn w:val="DefaultParagraphFont"/>
    <w:link w:val="Footer"/>
    <w:rsid w:val="00CD48B5"/>
    <w:rPr>
      <w:rFonts w:ascii="Arial" w:hAnsi="Arial"/>
      <w:lang w:eastAsia="en-US"/>
    </w:rPr>
  </w:style>
  <w:style w:type="paragraph" w:styleId="Header">
    <w:name w:val="header"/>
    <w:basedOn w:val="Normal"/>
    <w:link w:val="HeaderChar"/>
    <w:rsid w:val="00516B77"/>
    <w:pPr>
      <w:tabs>
        <w:tab w:val="center" w:pos="4153"/>
        <w:tab w:val="right" w:pos="8306"/>
      </w:tabs>
    </w:pPr>
    <w:rPr>
      <w:sz w:val="20"/>
      <w:szCs w:val="20"/>
      <w:lang w:val="en-US" w:eastAsia="en-US"/>
    </w:rPr>
  </w:style>
  <w:style w:type="character" w:customStyle="1" w:styleId="HeaderChar">
    <w:name w:val="Header Char"/>
    <w:basedOn w:val="DefaultParagraphFont"/>
    <w:link w:val="Header"/>
    <w:rsid w:val="00516B77"/>
    <w:rPr>
      <w:lang w:val="en-US" w:eastAsia="en-US"/>
    </w:rPr>
  </w:style>
  <w:style w:type="paragraph" w:customStyle="1" w:styleId="Default">
    <w:name w:val="Default"/>
    <w:rsid w:val="0020203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D70BFB"/>
    <w:rPr>
      <w:rFonts w:ascii="Segoe UI" w:hAnsi="Segoe UI" w:cs="Segoe UI"/>
      <w:sz w:val="18"/>
      <w:szCs w:val="18"/>
    </w:rPr>
  </w:style>
  <w:style w:type="character" w:customStyle="1" w:styleId="BalloonTextChar">
    <w:name w:val="Balloon Text Char"/>
    <w:basedOn w:val="DefaultParagraphFont"/>
    <w:link w:val="BalloonText"/>
    <w:semiHidden/>
    <w:rsid w:val="00D70BFB"/>
    <w:rPr>
      <w:rFonts w:ascii="Segoe UI" w:hAnsi="Segoe UI" w:cs="Segoe UI"/>
      <w:sz w:val="18"/>
      <w:szCs w:val="18"/>
    </w:rPr>
  </w:style>
  <w:style w:type="character" w:styleId="CommentReference">
    <w:name w:val="annotation reference"/>
    <w:basedOn w:val="DefaultParagraphFont"/>
    <w:semiHidden/>
    <w:unhideWhenUsed/>
    <w:rsid w:val="0015219E"/>
    <w:rPr>
      <w:sz w:val="16"/>
      <w:szCs w:val="16"/>
    </w:rPr>
  </w:style>
  <w:style w:type="paragraph" w:styleId="CommentText">
    <w:name w:val="annotation text"/>
    <w:basedOn w:val="Normal"/>
    <w:link w:val="CommentTextChar"/>
    <w:semiHidden/>
    <w:unhideWhenUsed/>
    <w:rsid w:val="0015219E"/>
    <w:rPr>
      <w:sz w:val="20"/>
      <w:szCs w:val="20"/>
    </w:rPr>
  </w:style>
  <w:style w:type="character" w:customStyle="1" w:styleId="CommentTextChar">
    <w:name w:val="Comment Text Char"/>
    <w:basedOn w:val="DefaultParagraphFont"/>
    <w:link w:val="CommentText"/>
    <w:semiHidden/>
    <w:rsid w:val="0015219E"/>
  </w:style>
  <w:style w:type="paragraph" w:styleId="CommentSubject">
    <w:name w:val="annotation subject"/>
    <w:basedOn w:val="CommentText"/>
    <w:next w:val="CommentText"/>
    <w:link w:val="CommentSubjectChar"/>
    <w:semiHidden/>
    <w:unhideWhenUsed/>
    <w:rsid w:val="0015219E"/>
    <w:rPr>
      <w:b/>
      <w:bCs/>
    </w:rPr>
  </w:style>
  <w:style w:type="character" w:customStyle="1" w:styleId="CommentSubjectChar">
    <w:name w:val="Comment Subject Char"/>
    <w:basedOn w:val="CommentTextChar"/>
    <w:link w:val="CommentSubject"/>
    <w:semiHidden/>
    <w:rsid w:val="001521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0"/>
    <w:rPr>
      <w:sz w:val="24"/>
      <w:szCs w:val="24"/>
    </w:rPr>
  </w:style>
  <w:style w:type="paragraph" w:styleId="Heading1">
    <w:name w:val="heading 1"/>
    <w:basedOn w:val="Normal"/>
    <w:next w:val="Normal"/>
    <w:link w:val="Heading1Char"/>
    <w:qFormat/>
    <w:rsid w:val="00397BC3"/>
    <w:pPr>
      <w:keepNext/>
      <w:jc w:val="center"/>
      <w:outlineLvl w:val="0"/>
    </w:pPr>
    <w:rPr>
      <w:rFonts w:ascii="Arial" w:hAnsi="Arial"/>
      <w:b/>
      <w:szCs w:val="20"/>
      <w:lang w:val="en-US" w:eastAsia="en-US"/>
    </w:rPr>
  </w:style>
  <w:style w:type="paragraph" w:styleId="Heading2">
    <w:name w:val="heading 2"/>
    <w:basedOn w:val="Normal"/>
    <w:next w:val="Normal"/>
    <w:link w:val="Heading2Char"/>
    <w:qFormat/>
    <w:rsid w:val="00397BC3"/>
    <w:pPr>
      <w:keepNext/>
      <w:tabs>
        <w:tab w:val="left" w:pos="7797"/>
      </w:tabs>
      <w:outlineLvl w:val="1"/>
    </w:pPr>
    <w:rPr>
      <w:rFonts w:ascii="Arial" w:hAnsi="Arial"/>
      <w:b/>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52"/>
    <w:pPr>
      <w:ind w:left="720"/>
      <w:contextualSpacing/>
    </w:pPr>
  </w:style>
  <w:style w:type="character" w:styleId="Hyperlink">
    <w:name w:val="Hyperlink"/>
    <w:basedOn w:val="DefaultParagraphFont"/>
    <w:rsid w:val="00C75A79"/>
    <w:rPr>
      <w:color w:val="0000FF" w:themeColor="hyperlink"/>
      <w:u w:val="single"/>
    </w:rPr>
  </w:style>
  <w:style w:type="character" w:customStyle="1" w:styleId="Heading1Char">
    <w:name w:val="Heading 1 Char"/>
    <w:basedOn w:val="DefaultParagraphFont"/>
    <w:link w:val="Heading1"/>
    <w:rsid w:val="00397BC3"/>
    <w:rPr>
      <w:rFonts w:ascii="Arial" w:hAnsi="Arial"/>
      <w:b/>
      <w:sz w:val="24"/>
      <w:lang w:val="en-US" w:eastAsia="en-US"/>
    </w:rPr>
  </w:style>
  <w:style w:type="character" w:customStyle="1" w:styleId="Heading2Char">
    <w:name w:val="Heading 2 Char"/>
    <w:basedOn w:val="DefaultParagraphFont"/>
    <w:link w:val="Heading2"/>
    <w:rsid w:val="00397BC3"/>
    <w:rPr>
      <w:rFonts w:ascii="Arial" w:hAnsi="Arial"/>
      <w:b/>
      <w:sz w:val="32"/>
      <w:lang w:val="en-US" w:eastAsia="en-US"/>
    </w:rPr>
  </w:style>
  <w:style w:type="paragraph" w:styleId="BodyTextIndent">
    <w:name w:val="Body Text Indent"/>
    <w:basedOn w:val="Normal"/>
    <w:link w:val="BodyTextIndentChar"/>
    <w:rsid w:val="00397BC3"/>
    <w:pPr>
      <w:ind w:left="720"/>
    </w:pPr>
    <w:rPr>
      <w:szCs w:val="20"/>
      <w:lang w:val="en-US" w:eastAsia="en-US"/>
    </w:rPr>
  </w:style>
  <w:style w:type="character" w:customStyle="1" w:styleId="BodyTextIndentChar">
    <w:name w:val="Body Text Indent Char"/>
    <w:basedOn w:val="DefaultParagraphFont"/>
    <w:link w:val="BodyTextIndent"/>
    <w:rsid w:val="00397BC3"/>
    <w:rPr>
      <w:sz w:val="24"/>
      <w:lang w:val="en-US" w:eastAsia="en-US"/>
    </w:rPr>
  </w:style>
  <w:style w:type="paragraph" w:styleId="BodyText">
    <w:name w:val="Body Text"/>
    <w:basedOn w:val="Normal"/>
    <w:link w:val="BodyTextChar"/>
    <w:rsid w:val="00397BC3"/>
    <w:rPr>
      <w:rFonts w:ascii="Arial" w:hAnsi="Arial"/>
      <w:b/>
      <w:color w:val="000000"/>
      <w:szCs w:val="20"/>
      <w:lang w:val="en-US" w:eastAsia="en-US"/>
    </w:rPr>
  </w:style>
  <w:style w:type="character" w:customStyle="1" w:styleId="BodyTextChar">
    <w:name w:val="Body Text Char"/>
    <w:basedOn w:val="DefaultParagraphFont"/>
    <w:link w:val="BodyText"/>
    <w:rsid w:val="00397BC3"/>
    <w:rPr>
      <w:rFonts w:ascii="Arial" w:hAnsi="Arial"/>
      <w:b/>
      <w:color w:val="000000"/>
      <w:sz w:val="24"/>
      <w:lang w:val="en-US" w:eastAsia="en-US"/>
    </w:rPr>
  </w:style>
  <w:style w:type="paragraph" w:styleId="Footer">
    <w:name w:val="footer"/>
    <w:basedOn w:val="Normal"/>
    <w:link w:val="FooterChar"/>
    <w:rsid w:val="00CD48B5"/>
    <w:pPr>
      <w:tabs>
        <w:tab w:val="center" w:pos="4153"/>
        <w:tab w:val="right" w:pos="8306"/>
      </w:tabs>
    </w:pPr>
    <w:rPr>
      <w:rFonts w:ascii="Arial" w:hAnsi="Arial"/>
      <w:sz w:val="20"/>
      <w:szCs w:val="20"/>
      <w:lang w:eastAsia="en-US"/>
    </w:rPr>
  </w:style>
  <w:style w:type="character" w:customStyle="1" w:styleId="FooterChar">
    <w:name w:val="Footer Char"/>
    <w:basedOn w:val="DefaultParagraphFont"/>
    <w:link w:val="Footer"/>
    <w:rsid w:val="00CD48B5"/>
    <w:rPr>
      <w:rFonts w:ascii="Arial" w:hAnsi="Arial"/>
      <w:lang w:eastAsia="en-US"/>
    </w:rPr>
  </w:style>
  <w:style w:type="paragraph" w:styleId="Header">
    <w:name w:val="header"/>
    <w:basedOn w:val="Normal"/>
    <w:link w:val="HeaderChar"/>
    <w:rsid w:val="00516B77"/>
    <w:pPr>
      <w:tabs>
        <w:tab w:val="center" w:pos="4153"/>
        <w:tab w:val="right" w:pos="8306"/>
      </w:tabs>
    </w:pPr>
    <w:rPr>
      <w:sz w:val="20"/>
      <w:szCs w:val="20"/>
      <w:lang w:val="en-US" w:eastAsia="en-US"/>
    </w:rPr>
  </w:style>
  <w:style w:type="character" w:customStyle="1" w:styleId="HeaderChar">
    <w:name w:val="Header Char"/>
    <w:basedOn w:val="DefaultParagraphFont"/>
    <w:link w:val="Header"/>
    <w:rsid w:val="00516B77"/>
    <w:rPr>
      <w:lang w:val="en-US" w:eastAsia="en-US"/>
    </w:rPr>
  </w:style>
  <w:style w:type="paragraph" w:customStyle="1" w:styleId="Default">
    <w:name w:val="Default"/>
    <w:rsid w:val="0020203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D70BFB"/>
    <w:rPr>
      <w:rFonts w:ascii="Segoe UI" w:hAnsi="Segoe UI" w:cs="Segoe UI"/>
      <w:sz w:val="18"/>
      <w:szCs w:val="18"/>
    </w:rPr>
  </w:style>
  <w:style w:type="character" w:customStyle="1" w:styleId="BalloonTextChar">
    <w:name w:val="Balloon Text Char"/>
    <w:basedOn w:val="DefaultParagraphFont"/>
    <w:link w:val="BalloonText"/>
    <w:semiHidden/>
    <w:rsid w:val="00D70BFB"/>
    <w:rPr>
      <w:rFonts w:ascii="Segoe UI" w:hAnsi="Segoe UI" w:cs="Segoe UI"/>
      <w:sz w:val="18"/>
      <w:szCs w:val="18"/>
    </w:rPr>
  </w:style>
  <w:style w:type="character" w:styleId="CommentReference">
    <w:name w:val="annotation reference"/>
    <w:basedOn w:val="DefaultParagraphFont"/>
    <w:semiHidden/>
    <w:unhideWhenUsed/>
    <w:rsid w:val="0015219E"/>
    <w:rPr>
      <w:sz w:val="16"/>
      <w:szCs w:val="16"/>
    </w:rPr>
  </w:style>
  <w:style w:type="paragraph" w:styleId="CommentText">
    <w:name w:val="annotation text"/>
    <w:basedOn w:val="Normal"/>
    <w:link w:val="CommentTextChar"/>
    <w:semiHidden/>
    <w:unhideWhenUsed/>
    <w:rsid w:val="0015219E"/>
    <w:rPr>
      <w:sz w:val="20"/>
      <w:szCs w:val="20"/>
    </w:rPr>
  </w:style>
  <w:style w:type="character" w:customStyle="1" w:styleId="CommentTextChar">
    <w:name w:val="Comment Text Char"/>
    <w:basedOn w:val="DefaultParagraphFont"/>
    <w:link w:val="CommentText"/>
    <w:semiHidden/>
    <w:rsid w:val="0015219E"/>
  </w:style>
  <w:style w:type="paragraph" w:styleId="CommentSubject">
    <w:name w:val="annotation subject"/>
    <w:basedOn w:val="CommentText"/>
    <w:next w:val="CommentText"/>
    <w:link w:val="CommentSubjectChar"/>
    <w:semiHidden/>
    <w:unhideWhenUsed/>
    <w:rsid w:val="0015219E"/>
    <w:rPr>
      <w:b/>
      <w:bCs/>
    </w:rPr>
  </w:style>
  <w:style w:type="character" w:customStyle="1" w:styleId="CommentSubjectChar">
    <w:name w:val="Comment Subject Char"/>
    <w:basedOn w:val="CommentTextChar"/>
    <w:link w:val="CommentSubject"/>
    <w:semiHidden/>
    <w:rsid w:val="00152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9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F45A-DBD6-49D8-A999-1BA76CD0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2397</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Fi086458</dc:creator>
  <cp:lastModifiedBy>laura.kearney</cp:lastModifiedBy>
  <cp:revision>3</cp:revision>
  <cp:lastPrinted>2018-07-28T10:55:00Z</cp:lastPrinted>
  <dcterms:created xsi:type="dcterms:W3CDTF">2023-05-16T09:53:00Z</dcterms:created>
  <dcterms:modified xsi:type="dcterms:W3CDTF">2023-05-16T09:56:00Z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763e2b6e-69f9-41ba-85dd-7a0aa22ad36e</vt:lpwstr>
  </property>
</Properties>
</file>